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6E" w:rsidRDefault="00813B6E">
      <w:pPr>
        <w:rPr>
          <w:rStyle w:val="lev"/>
        </w:rPr>
      </w:pPr>
      <w:bookmarkStart w:id="0" w:name="_GoBack"/>
      <w:bookmarkEnd w:id="0"/>
    </w:p>
    <w:p w:rsidR="00813B6E" w:rsidRDefault="00813B6E">
      <w:pPr>
        <w:rPr>
          <w:rStyle w:val="lev"/>
        </w:rPr>
      </w:pPr>
      <w:r>
        <w:rPr>
          <w:rStyle w:val="lev"/>
        </w:rPr>
        <w:t>Méthode de calcul des budgets (emplois fonctionnels DH):</w:t>
      </w:r>
    </w:p>
    <w:p w:rsidR="00813B6E" w:rsidRDefault="00813B6E">
      <w:pPr>
        <w:rPr>
          <w:rStyle w:val="lev"/>
        </w:rPr>
      </w:pPr>
    </w:p>
    <w:p w:rsidR="00813B6E" w:rsidRDefault="00813B6E">
      <w:r>
        <w:rPr>
          <w:rStyle w:val="lev"/>
        </w:rPr>
        <w:t>Arrêté du 24 avril 2012 fixant, d'une part, le nombre d'emplois fonctionnels par groupe énuméré à l'article 1er du décret n° 2005-922 du 2 août 2005 modifié relatif aux conditions de nomination et d'avancement de certains emplois fonctionnels des établissements mentionnés à l'article 2 (1° et 7°) de la loi n° 86-33 du 9 janvier 1986 modifiée portant dispositions statutaires relatives à la fonction publique hospitalière et, d'autre part, les seuils des volumes financiers des budgets des établissements publics de santé éligibles à un emploi fonctionnel</w:t>
      </w:r>
      <w:r>
        <w:t xml:space="preserve"> </w:t>
      </w:r>
      <w:r>
        <w:br/>
      </w:r>
      <w:r>
        <w:br/>
        <w:t>NOR: ETSH1204242A</w:t>
      </w:r>
    </w:p>
    <w:p w:rsidR="00813B6E" w:rsidRDefault="00813B6E"/>
    <w:p w:rsidR="00813B6E" w:rsidRPr="00813B6E" w:rsidRDefault="00813B6E">
      <w:pPr>
        <w:rPr>
          <w:b/>
        </w:rPr>
      </w:pPr>
      <w:r w:rsidRPr="00813B6E">
        <w:rPr>
          <w:b/>
        </w:rPr>
        <w:t>Article 2 =</w:t>
      </w:r>
    </w:p>
    <w:p w:rsidR="00813B6E" w:rsidRDefault="00813B6E"/>
    <w:p w:rsidR="00571551" w:rsidRDefault="00813B6E">
      <w:r w:rsidRPr="003464AD">
        <w:t>« …le montant des budgets consolidés des établissements publics de santé constitués, le cas échéant, sous forme de direction commune est égal aux sommes figurant au compte de résultats principal et aux comptes de résultats annexes du dernier exercice budgétaire clos, desquels sont déduits les remboursements de frais par les comptes de résultats annexes, les produits des cessions d'éléments d'actif, la quote-part des subventions d'investissement virée au résultat de l'exercice et les reprises sur amortissements, dépréciations et provisions. »</w:t>
      </w:r>
    </w:p>
    <w:sectPr w:rsidR="00571551" w:rsidSect="00571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82A" w:rsidRDefault="0048382A" w:rsidP="00813B6E">
      <w:pPr>
        <w:spacing w:after="0" w:line="240" w:lineRule="auto"/>
      </w:pPr>
      <w:r>
        <w:separator/>
      </w:r>
    </w:p>
  </w:endnote>
  <w:endnote w:type="continuationSeparator" w:id="0">
    <w:p w:rsidR="0048382A" w:rsidRDefault="0048382A" w:rsidP="0081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82A" w:rsidRDefault="0048382A" w:rsidP="00813B6E">
      <w:pPr>
        <w:spacing w:after="0" w:line="240" w:lineRule="auto"/>
      </w:pPr>
      <w:r>
        <w:separator/>
      </w:r>
    </w:p>
  </w:footnote>
  <w:footnote w:type="continuationSeparator" w:id="0">
    <w:p w:rsidR="0048382A" w:rsidRDefault="0048382A" w:rsidP="00813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6E" w:rsidRPr="00813B6E" w:rsidRDefault="00813B6E">
    <w:pPr>
      <w:pStyle w:val="En-tte"/>
      <w:rPr>
        <w:b/>
      </w:rPr>
    </w:pPr>
    <w:r w:rsidRPr="00813B6E">
      <w:rPr>
        <w:b/>
      </w:rPr>
      <w:t>DGOS/SDRHSS/RH4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6E"/>
    <w:rsid w:val="003464AD"/>
    <w:rsid w:val="0048382A"/>
    <w:rsid w:val="00571551"/>
    <w:rsid w:val="005D0606"/>
    <w:rsid w:val="00813B6E"/>
    <w:rsid w:val="00C27579"/>
    <w:rsid w:val="00C34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13B6E"/>
    <w:rPr>
      <w:b/>
      <w:bCs/>
    </w:rPr>
  </w:style>
  <w:style w:type="paragraph" w:styleId="En-tte">
    <w:name w:val="header"/>
    <w:basedOn w:val="Normal"/>
    <w:link w:val="En-tteCar"/>
    <w:uiPriority w:val="99"/>
    <w:semiHidden/>
    <w:unhideWhenUsed/>
    <w:rsid w:val="00813B6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13B6E"/>
  </w:style>
  <w:style w:type="paragraph" w:styleId="Pieddepage">
    <w:name w:val="footer"/>
    <w:basedOn w:val="Normal"/>
    <w:link w:val="PieddepageCar"/>
    <w:uiPriority w:val="99"/>
    <w:semiHidden/>
    <w:unhideWhenUsed/>
    <w:rsid w:val="00813B6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13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13B6E"/>
    <w:rPr>
      <w:b/>
      <w:bCs/>
    </w:rPr>
  </w:style>
  <w:style w:type="paragraph" w:styleId="En-tte">
    <w:name w:val="header"/>
    <w:basedOn w:val="Normal"/>
    <w:link w:val="En-tteCar"/>
    <w:uiPriority w:val="99"/>
    <w:semiHidden/>
    <w:unhideWhenUsed/>
    <w:rsid w:val="00813B6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13B6E"/>
  </w:style>
  <w:style w:type="paragraph" w:styleId="Pieddepage">
    <w:name w:val="footer"/>
    <w:basedOn w:val="Normal"/>
    <w:link w:val="PieddepageCar"/>
    <w:uiPriority w:val="99"/>
    <w:semiHidden/>
    <w:unhideWhenUsed/>
    <w:rsid w:val="00813B6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13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1014</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MSS DGOS</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chdupuis</dc:creator>
  <cp:lastModifiedBy>Anita Caton</cp:lastModifiedBy>
  <cp:revision>2</cp:revision>
  <cp:lastPrinted>2014-05-16T14:02:00Z</cp:lastPrinted>
  <dcterms:created xsi:type="dcterms:W3CDTF">2017-06-26T14:34:00Z</dcterms:created>
  <dcterms:modified xsi:type="dcterms:W3CDTF">2017-06-26T14:34:00Z</dcterms:modified>
</cp:coreProperties>
</file>