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60550" w14:textId="665952A1" w:rsidR="00020E7B" w:rsidRDefault="00020E7B" w:rsidP="00020E7B">
      <w:pPr>
        <w:jc w:val="center"/>
        <w:rPr>
          <w:b/>
          <w:sz w:val="28"/>
        </w:rPr>
      </w:pPr>
    </w:p>
    <w:p w14:paraId="0BC3E35A" w14:textId="77777777" w:rsidR="00EE12AF" w:rsidRDefault="00EE12AF" w:rsidP="00020E7B">
      <w:pPr>
        <w:jc w:val="center"/>
        <w:rPr>
          <w:b/>
          <w:sz w:val="28"/>
        </w:rPr>
      </w:pPr>
    </w:p>
    <w:p w14:paraId="72395EBE" w14:textId="77777777" w:rsidR="00020E7B" w:rsidRDefault="00020E7B" w:rsidP="00020E7B">
      <w:pPr>
        <w:jc w:val="center"/>
        <w:rPr>
          <w:b/>
          <w:sz w:val="28"/>
        </w:rPr>
      </w:pPr>
      <w:r>
        <w:rPr>
          <w:b/>
          <w:noProof/>
          <w:sz w:val="28"/>
          <w:lang w:eastAsia="fr-FR"/>
        </w:rPr>
        <mc:AlternateContent>
          <mc:Choice Requires="wps">
            <w:drawing>
              <wp:anchor distT="0" distB="0" distL="114300" distR="114300" simplePos="0" relativeHeight="251661312" behindDoc="0" locked="0" layoutInCell="1" allowOverlap="1" wp14:anchorId="319D7633" wp14:editId="00CC588D">
                <wp:simplePos x="0" y="0"/>
                <wp:positionH relativeFrom="page">
                  <wp:posOffset>809625</wp:posOffset>
                </wp:positionH>
                <wp:positionV relativeFrom="paragraph">
                  <wp:posOffset>102870</wp:posOffset>
                </wp:positionV>
                <wp:extent cx="9072245" cy="772160"/>
                <wp:effectExtent l="57150" t="38100" r="52705" b="85090"/>
                <wp:wrapNone/>
                <wp:docPr id="2" name="Rectangle à coins arrondis 1"/>
                <wp:cNvGraphicFramePr/>
                <a:graphic xmlns:a="http://schemas.openxmlformats.org/drawingml/2006/main">
                  <a:graphicData uri="http://schemas.microsoft.com/office/word/2010/wordprocessingShape">
                    <wps:wsp>
                      <wps:cNvSpPr/>
                      <wps:spPr>
                        <a:xfrm>
                          <a:off x="0" y="0"/>
                          <a:ext cx="9072245" cy="772160"/>
                        </a:xfrm>
                        <a:prstGeom prst="roundRect">
                          <a:avLst/>
                        </a:prstGeom>
                      </wps:spPr>
                      <wps:style>
                        <a:lnRef idx="0">
                          <a:schemeClr val="accent5"/>
                        </a:lnRef>
                        <a:fillRef idx="3">
                          <a:schemeClr val="accent5"/>
                        </a:fillRef>
                        <a:effectRef idx="3">
                          <a:schemeClr val="accent5"/>
                        </a:effectRef>
                        <a:fontRef idx="minor">
                          <a:schemeClr val="lt1"/>
                        </a:fontRef>
                      </wps:style>
                      <wps:txbx>
                        <w:txbxContent>
                          <w:p w14:paraId="5C65D346" w14:textId="77777777" w:rsidR="00020E7B" w:rsidRDefault="00020E7B" w:rsidP="00020E7B">
                            <w:pPr>
                              <w:jc w:val="center"/>
                              <w:rPr>
                                <w:b/>
                                <w:sz w:val="24"/>
                                <w:szCs w:val="24"/>
                              </w:rPr>
                            </w:pPr>
                            <w:r w:rsidRPr="00C20A90">
                              <w:rPr>
                                <w:b/>
                                <w:sz w:val="24"/>
                                <w:szCs w:val="24"/>
                              </w:rPr>
                              <w:t>Recommandations de la commission de médecine d’urgence pour la validation d’autorisation d’exercice</w:t>
                            </w:r>
                          </w:p>
                          <w:p w14:paraId="4966FB92" w14:textId="21E068AE" w:rsidR="00020E7B" w:rsidRPr="00C20A90" w:rsidRDefault="00A71B28" w:rsidP="00020E7B">
                            <w:pPr>
                              <w:jc w:val="center"/>
                              <w:rPr>
                                <w:b/>
                                <w:sz w:val="24"/>
                                <w:szCs w:val="24"/>
                              </w:rPr>
                            </w:pPr>
                            <w:r>
                              <w:rPr>
                                <w:b/>
                                <w:sz w:val="24"/>
                                <w:szCs w:val="24"/>
                              </w:rPr>
                              <w:t>pour l</w:t>
                            </w:r>
                            <w:r w:rsidR="00020E7B">
                              <w:rPr>
                                <w:b/>
                                <w:sz w:val="24"/>
                                <w:szCs w:val="24"/>
                              </w:rPr>
                              <w:t xml:space="preserve">es lauréats des EVC </w:t>
                            </w:r>
                          </w:p>
                          <w:p w14:paraId="0ECDF366" w14:textId="77777777" w:rsidR="00020E7B" w:rsidRDefault="00020E7B" w:rsidP="00020E7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9D7633" id="Rectangle à coins arrondis 1" o:spid="_x0000_s1026" style="position:absolute;left:0;text-align:left;margin-left:63.75pt;margin-top:8.1pt;width:714.35pt;height:6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" fillcolor="#4f7ac7 [3032]" stroked="f">
                <v:fill color2="#416fc3 [3176]" rotate="t" colors="0 #6083cb;.5 #3e70ca;1 #2e61ba" focus="100%" type="gradient">
                  <o:fill v:ext="view" type="gradientUnscaled"/>
                </v:fill>
                <v:shadow on="t" color="black" opacity="41287f" offset="0,1.5pt"/>
                <v:textbox>
                  <w:txbxContent>
                    <w:p w14:paraId="5C65D346" w14:textId="77777777" w:rsidR="00020E7B" w:rsidRDefault="00020E7B" w:rsidP="00020E7B">
                      <w:pPr>
                        <w:jc w:val="center"/>
                        <w:rPr>
                          <w:b/>
                          <w:sz w:val="24"/>
                          <w:szCs w:val="24"/>
                        </w:rPr>
                      </w:pPr>
                      <w:r w:rsidRPr="00C20A90">
                        <w:rPr>
                          <w:b/>
                          <w:sz w:val="24"/>
                          <w:szCs w:val="24"/>
                        </w:rPr>
                        <w:t>Recommandations de la commission de médecine d’urgence pour la validation d’autorisation d’exercice</w:t>
                      </w:r>
                    </w:p>
                    <w:p w14:paraId="4966FB92" w14:textId="21E068AE" w:rsidR="00020E7B" w:rsidRPr="00C20A90" w:rsidRDefault="00A71B28" w:rsidP="00020E7B">
                      <w:pPr>
                        <w:jc w:val="center"/>
                        <w:rPr>
                          <w:b/>
                          <w:sz w:val="24"/>
                          <w:szCs w:val="24"/>
                        </w:rPr>
                      </w:pPr>
                      <w:r>
                        <w:rPr>
                          <w:b/>
                          <w:sz w:val="24"/>
                          <w:szCs w:val="24"/>
                        </w:rPr>
                        <w:t>pour l</w:t>
                      </w:r>
                      <w:r w:rsidR="00020E7B">
                        <w:rPr>
                          <w:b/>
                          <w:sz w:val="24"/>
                          <w:szCs w:val="24"/>
                        </w:rPr>
                        <w:t xml:space="preserve">es lauréats des EVC </w:t>
                      </w:r>
                    </w:p>
                    <w:p w14:paraId="0ECDF366" w14:textId="77777777" w:rsidR="00020E7B" w:rsidRDefault="00020E7B" w:rsidP="00020E7B">
                      <w:pPr>
                        <w:jc w:val="center"/>
                      </w:pPr>
                    </w:p>
                  </w:txbxContent>
                </v:textbox>
                <w10:wrap anchorx="page"/>
              </v:roundrect>
            </w:pict>
          </mc:Fallback>
        </mc:AlternateContent>
      </w:r>
    </w:p>
    <w:p w14:paraId="1DF49E41" w14:textId="77777777" w:rsidR="00020E7B" w:rsidRDefault="00020E7B" w:rsidP="00020E7B">
      <w:pPr>
        <w:jc w:val="center"/>
        <w:rPr>
          <w:b/>
          <w:sz w:val="28"/>
        </w:rPr>
      </w:pPr>
    </w:p>
    <w:p w14:paraId="4C67E793" w14:textId="77777777" w:rsidR="00020E7B" w:rsidRDefault="00020E7B" w:rsidP="00020E7B">
      <w:pPr>
        <w:rPr>
          <w:sz w:val="28"/>
        </w:rPr>
      </w:pPr>
    </w:p>
    <w:p w14:paraId="492BC293" w14:textId="77777777" w:rsidR="00020E7B" w:rsidRDefault="00020E7B" w:rsidP="00020E7B">
      <w:pPr>
        <w:rPr>
          <w:sz w:val="28"/>
        </w:rPr>
      </w:pPr>
    </w:p>
    <w:p w14:paraId="2ED468E1" w14:textId="77777777" w:rsidR="00020E7B" w:rsidRPr="00C20A90" w:rsidRDefault="00020E7B" w:rsidP="00020E7B">
      <w:pPr>
        <w:rPr>
          <w:sz w:val="24"/>
          <w:szCs w:val="24"/>
        </w:rPr>
      </w:pPr>
      <w:r w:rsidRPr="00C20A90">
        <w:rPr>
          <w:sz w:val="24"/>
          <w:szCs w:val="24"/>
        </w:rPr>
        <w:t>Les commissions d’autorisation d’exercice pour les praticiens à diplôme hors union européenne sont souveraines.</w:t>
      </w:r>
    </w:p>
    <w:p w14:paraId="25C853A9" w14:textId="77777777" w:rsidR="00020E7B" w:rsidRPr="00C20A90" w:rsidRDefault="00020E7B" w:rsidP="00020E7B">
      <w:pPr>
        <w:rPr>
          <w:sz w:val="24"/>
          <w:szCs w:val="24"/>
        </w:rPr>
      </w:pPr>
      <w:r w:rsidRPr="00C20A90">
        <w:rPr>
          <w:sz w:val="24"/>
          <w:szCs w:val="24"/>
        </w:rPr>
        <w:t xml:space="preserve">La commission de médecine d’urgence recommande pour la validation de l’autorisation d’exercice : </w:t>
      </w:r>
    </w:p>
    <w:p w14:paraId="113E3EA8" w14:textId="282989B9" w:rsidR="00020E7B" w:rsidRDefault="00020E7B" w:rsidP="00020E7B">
      <w:pPr>
        <w:pStyle w:val="Paragraphedeliste"/>
        <w:numPr>
          <w:ilvl w:val="0"/>
          <w:numId w:val="8"/>
        </w:numPr>
        <w:rPr>
          <w:sz w:val="24"/>
          <w:szCs w:val="24"/>
        </w:rPr>
      </w:pPr>
      <w:r w:rsidRPr="00C20A90">
        <w:rPr>
          <w:sz w:val="24"/>
          <w:szCs w:val="24"/>
        </w:rPr>
        <w:t xml:space="preserve">Avoir exercé au moins 2 années en </w:t>
      </w:r>
      <w:r>
        <w:rPr>
          <w:sz w:val="24"/>
          <w:szCs w:val="24"/>
        </w:rPr>
        <w:t>équivalent temps-plein</w:t>
      </w:r>
      <w:r w:rsidRPr="00C20A90">
        <w:rPr>
          <w:sz w:val="24"/>
          <w:szCs w:val="24"/>
        </w:rPr>
        <w:t xml:space="preserve"> en médecine d’urgence</w:t>
      </w:r>
      <w:r>
        <w:rPr>
          <w:sz w:val="24"/>
          <w:szCs w:val="24"/>
        </w:rPr>
        <w:t>. C</w:t>
      </w:r>
      <w:r w:rsidRPr="00C20A90">
        <w:rPr>
          <w:sz w:val="24"/>
          <w:szCs w:val="24"/>
        </w:rPr>
        <w:t xml:space="preserve">et exercice doit être </w:t>
      </w:r>
      <w:r>
        <w:rPr>
          <w:sz w:val="24"/>
          <w:szCs w:val="24"/>
        </w:rPr>
        <w:t xml:space="preserve">réalisé dans des structures </w:t>
      </w:r>
      <w:r w:rsidRPr="00C20A90">
        <w:rPr>
          <w:sz w:val="24"/>
          <w:szCs w:val="24"/>
        </w:rPr>
        <w:t>d’urgence agrée</w:t>
      </w:r>
      <w:r>
        <w:rPr>
          <w:sz w:val="24"/>
          <w:szCs w:val="24"/>
        </w:rPr>
        <w:t>s</w:t>
      </w:r>
      <w:r w:rsidRPr="00C20A90">
        <w:rPr>
          <w:sz w:val="24"/>
          <w:szCs w:val="24"/>
        </w:rPr>
        <w:t xml:space="preserve"> </w:t>
      </w:r>
      <w:r>
        <w:rPr>
          <w:sz w:val="24"/>
          <w:szCs w:val="24"/>
        </w:rPr>
        <w:t xml:space="preserve">par l’ARS </w:t>
      </w:r>
      <w:r w:rsidRPr="00C20A90">
        <w:rPr>
          <w:sz w:val="24"/>
          <w:szCs w:val="24"/>
        </w:rPr>
        <w:t>pour la formation des internes de Médecine d’Urgence</w:t>
      </w:r>
      <w:r w:rsidR="00BB7761">
        <w:rPr>
          <w:sz w:val="24"/>
          <w:szCs w:val="24"/>
        </w:rPr>
        <w:t>,</w:t>
      </w:r>
      <w:r w:rsidRPr="00C20A90">
        <w:rPr>
          <w:sz w:val="24"/>
          <w:szCs w:val="24"/>
        </w:rPr>
        <w:t xml:space="preserve"> avec un exercice sur tous les postes</w:t>
      </w:r>
      <w:r>
        <w:rPr>
          <w:sz w:val="24"/>
          <w:szCs w:val="24"/>
        </w:rPr>
        <w:t xml:space="preserve"> : </w:t>
      </w:r>
      <w:r w:rsidRPr="00C20A90">
        <w:rPr>
          <w:sz w:val="24"/>
          <w:szCs w:val="24"/>
        </w:rPr>
        <w:t>circuit long, circuit court, SAUV, UHCD</w:t>
      </w:r>
      <w:r>
        <w:rPr>
          <w:sz w:val="24"/>
          <w:szCs w:val="24"/>
        </w:rPr>
        <w:t xml:space="preserve"> et</w:t>
      </w:r>
      <w:r w:rsidRPr="00C20A90">
        <w:rPr>
          <w:sz w:val="24"/>
          <w:szCs w:val="24"/>
        </w:rPr>
        <w:t xml:space="preserve"> </w:t>
      </w:r>
      <w:r>
        <w:rPr>
          <w:sz w:val="24"/>
          <w:szCs w:val="24"/>
        </w:rPr>
        <w:t>SAMU-</w:t>
      </w:r>
      <w:r w:rsidRPr="00C20A90">
        <w:rPr>
          <w:sz w:val="24"/>
          <w:szCs w:val="24"/>
        </w:rPr>
        <w:t>SMUR (</w:t>
      </w:r>
      <w:r w:rsidRPr="005E0E93">
        <w:rPr>
          <w:rFonts w:ascii="Calibri" w:eastAsia="Times New Roman" w:hAnsi="Calibri" w:cs="Calibri"/>
          <w:color w:val="212121"/>
          <w:sz w:val="24"/>
          <w:szCs w:val="24"/>
          <w:lang w:eastAsia="fr-FR"/>
        </w:rPr>
        <w:t>en autonomie sous la responsabilité du chef de service ou en doublon</w:t>
      </w:r>
      <w:r w:rsidRPr="00C20A90">
        <w:rPr>
          <w:sz w:val="24"/>
          <w:szCs w:val="24"/>
        </w:rPr>
        <w:t>)</w:t>
      </w:r>
      <w:r>
        <w:rPr>
          <w:sz w:val="24"/>
          <w:szCs w:val="24"/>
        </w:rPr>
        <w:t>.</w:t>
      </w:r>
    </w:p>
    <w:p w14:paraId="1BF678B8" w14:textId="77777777" w:rsidR="00020E7B" w:rsidRPr="00C20A90" w:rsidRDefault="00020E7B" w:rsidP="00020E7B">
      <w:pPr>
        <w:pStyle w:val="Paragraphedeliste"/>
        <w:ind w:left="1080"/>
        <w:rPr>
          <w:color w:val="FF0000"/>
          <w:sz w:val="24"/>
          <w:szCs w:val="24"/>
        </w:rPr>
      </w:pPr>
      <w:r w:rsidRPr="00C20A90">
        <w:rPr>
          <w:sz w:val="24"/>
          <w:szCs w:val="24"/>
        </w:rPr>
        <w:t xml:space="preserve"> </w:t>
      </w:r>
    </w:p>
    <w:p w14:paraId="5981DB79" w14:textId="53DD1A32" w:rsidR="00020E7B" w:rsidRPr="00C20A90" w:rsidRDefault="00020E7B" w:rsidP="00020E7B">
      <w:pPr>
        <w:pStyle w:val="Paragraphedeliste"/>
        <w:numPr>
          <w:ilvl w:val="0"/>
          <w:numId w:val="8"/>
        </w:numPr>
        <w:shd w:val="clear" w:color="auto" w:fill="FFFFFF"/>
        <w:spacing w:after="0" w:line="240" w:lineRule="auto"/>
        <w:rPr>
          <w:rFonts w:ascii="Calibri" w:eastAsia="Times New Roman" w:hAnsi="Calibri" w:cs="Calibri"/>
          <w:color w:val="000000"/>
          <w:sz w:val="24"/>
          <w:szCs w:val="24"/>
          <w:lang w:eastAsia="fr-FR"/>
        </w:rPr>
      </w:pPr>
      <w:r w:rsidRPr="00C20A90">
        <w:rPr>
          <w:sz w:val="24"/>
          <w:szCs w:val="24"/>
        </w:rPr>
        <w:t xml:space="preserve">Avoir </w:t>
      </w:r>
      <w:r>
        <w:rPr>
          <w:sz w:val="24"/>
          <w:szCs w:val="24"/>
        </w:rPr>
        <w:t>obtenu</w:t>
      </w:r>
      <w:r w:rsidRPr="00C20A90">
        <w:rPr>
          <w:sz w:val="24"/>
          <w:szCs w:val="24"/>
        </w:rPr>
        <w:t xml:space="preserve"> un </w:t>
      </w:r>
      <w:r>
        <w:rPr>
          <w:rFonts w:ascii="Calibri" w:eastAsia="Times New Roman" w:hAnsi="Calibri" w:cs="Calibri"/>
          <w:color w:val="212121"/>
          <w:sz w:val="24"/>
          <w:szCs w:val="24"/>
          <w:lang w:eastAsia="fr-FR"/>
        </w:rPr>
        <w:t xml:space="preserve">Diplôme Universitaire </w:t>
      </w:r>
      <w:r w:rsidRPr="00C20A90">
        <w:rPr>
          <w:rFonts w:ascii="Calibri" w:eastAsia="Times New Roman" w:hAnsi="Calibri" w:cs="Calibri"/>
          <w:color w:val="212121"/>
          <w:sz w:val="24"/>
          <w:szCs w:val="24"/>
          <w:lang w:eastAsia="fr-FR"/>
        </w:rPr>
        <w:t>d’Urgences Vitales</w:t>
      </w:r>
      <w:r>
        <w:rPr>
          <w:rFonts w:ascii="Calibri" w:eastAsia="Times New Roman" w:hAnsi="Calibri" w:cs="Calibri"/>
          <w:color w:val="212121"/>
          <w:sz w:val="24"/>
          <w:szCs w:val="24"/>
          <w:lang w:eastAsia="fr-FR"/>
        </w:rPr>
        <w:t xml:space="preserve"> (UV)</w:t>
      </w:r>
      <w:r w:rsidRPr="00C20A90">
        <w:rPr>
          <w:rFonts w:ascii="Calibri" w:eastAsia="Times New Roman" w:hAnsi="Calibri" w:cs="Calibri"/>
          <w:color w:val="212121"/>
          <w:sz w:val="24"/>
          <w:szCs w:val="24"/>
          <w:lang w:eastAsia="fr-FR"/>
        </w:rPr>
        <w:t>. Il en existe plusieurs en France : Bordeaux, Dijon, Montpellier, Nantes, Sorbonne</w:t>
      </w:r>
      <w:r>
        <w:rPr>
          <w:rFonts w:ascii="Calibri" w:eastAsia="Times New Roman" w:hAnsi="Calibri" w:cs="Calibri"/>
          <w:color w:val="212121"/>
          <w:sz w:val="24"/>
          <w:szCs w:val="24"/>
          <w:lang w:eastAsia="fr-FR"/>
        </w:rPr>
        <w:t>-Université</w:t>
      </w:r>
      <w:r w:rsidRPr="00C20A90">
        <w:rPr>
          <w:rFonts w:ascii="Calibri" w:eastAsia="Times New Roman" w:hAnsi="Calibri" w:cs="Calibri"/>
          <w:color w:val="212121"/>
          <w:sz w:val="24"/>
          <w:szCs w:val="24"/>
          <w:lang w:eastAsia="fr-FR"/>
        </w:rPr>
        <w:t xml:space="preserve">, </w:t>
      </w:r>
      <w:r w:rsidR="00AB4252">
        <w:rPr>
          <w:rFonts w:ascii="Calibri" w:eastAsia="Times New Roman" w:hAnsi="Calibri" w:cs="Calibri"/>
          <w:color w:val="212121"/>
          <w:sz w:val="24"/>
          <w:szCs w:val="24"/>
          <w:lang w:eastAsia="fr-FR"/>
        </w:rPr>
        <w:t xml:space="preserve">Université </w:t>
      </w:r>
      <w:r w:rsidRPr="00C20A90">
        <w:rPr>
          <w:rFonts w:ascii="Calibri" w:eastAsia="Times New Roman" w:hAnsi="Calibri" w:cs="Calibri"/>
          <w:color w:val="212121"/>
          <w:sz w:val="24"/>
          <w:szCs w:val="24"/>
          <w:lang w:eastAsia="fr-FR"/>
        </w:rPr>
        <w:t>Paris Cité, Rennes. </w:t>
      </w:r>
      <w:r w:rsidR="00811F4B">
        <w:rPr>
          <w:rFonts w:ascii="Calibri" w:eastAsia="Times New Roman" w:hAnsi="Calibri" w:cs="Calibri"/>
          <w:color w:val="212121"/>
          <w:sz w:val="24"/>
          <w:szCs w:val="24"/>
          <w:lang w:eastAsia="fr-FR"/>
        </w:rPr>
        <w:t>Au cas par cas et s</w:t>
      </w:r>
      <w:r>
        <w:rPr>
          <w:rFonts w:ascii="Calibri" w:eastAsia="Times New Roman" w:hAnsi="Calibri" w:cs="Calibri"/>
          <w:color w:val="212121"/>
          <w:sz w:val="24"/>
          <w:szCs w:val="24"/>
          <w:lang w:eastAsia="fr-FR"/>
        </w:rPr>
        <w:t>elon la formation initiale du candidat</w:t>
      </w:r>
      <w:r w:rsidR="00811F4B">
        <w:rPr>
          <w:rFonts w:ascii="Calibri" w:eastAsia="Times New Roman" w:hAnsi="Calibri" w:cs="Calibri"/>
          <w:color w:val="212121"/>
          <w:sz w:val="24"/>
          <w:szCs w:val="24"/>
          <w:lang w:eastAsia="fr-FR"/>
        </w:rPr>
        <w:t xml:space="preserve"> dans son pays d’origine</w:t>
      </w:r>
      <w:r>
        <w:rPr>
          <w:rFonts w:ascii="Calibri" w:eastAsia="Times New Roman" w:hAnsi="Calibri" w:cs="Calibri"/>
          <w:color w:val="212121"/>
          <w:sz w:val="24"/>
          <w:szCs w:val="24"/>
          <w:lang w:eastAsia="fr-FR"/>
        </w:rPr>
        <w:t>, l</w:t>
      </w:r>
      <w:r w:rsidR="00811F4B">
        <w:rPr>
          <w:rFonts w:ascii="Calibri" w:eastAsia="Times New Roman" w:hAnsi="Calibri" w:cs="Calibri"/>
          <w:color w:val="212121"/>
          <w:sz w:val="24"/>
          <w:szCs w:val="24"/>
          <w:lang w:eastAsia="fr-FR"/>
        </w:rPr>
        <w:t>a commission pourrait ne pas exiger un</w:t>
      </w:r>
      <w:r>
        <w:rPr>
          <w:rFonts w:ascii="Calibri" w:eastAsia="Times New Roman" w:hAnsi="Calibri" w:cs="Calibri"/>
          <w:color w:val="212121"/>
          <w:sz w:val="24"/>
          <w:szCs w:val="24"/>
          <w:lang w:eastAsia="fr-FR"/>
        </w:rPr>
        <w:t xml:space="preserve"> DU d’UV</w:t>
      </w:r>
      <w:r w:rsidR="00811F4B">
        <w:rPr>
          <w:rFonts w:ascii="Calibri" w:eastAsia="Times New Roman" w:hAnsi="Calibri" w:cs="Calibri"/>
          <w:color w:val="212121"/>
          <w:sz w:val="24"/>
          <w:szCs w:val="24"/>
          <w:lang w:eastAsia="fr-FR"/>
        </w:rPr>
        <w:t>.</w:t>
      </w:r>
      <w:r>
        <w:rPr>
          <w:rFonts w:ascii="Calibri" w:eastAsia="Times New Roman" w:hAnsi="Calibri" w:cs="Calibri"/>
          <w:color w:val="212121"/>
          <w:sz w:val="24"/>
          <w:szCs w:val="24"/>
          <w:lang w:eastAsia="fr-FR"/>
        </w:rPr>
        <w:t xml:space="preserve"> </w:t>
      </w:r>
    </w:p>
    <w:p w14:paraId="65CD8660" w14:textId="77777777" w:rsidR="00020E7B" w:rsidRPr="00C20A90" w:rsidRDefault="00020E7B" w:rsidP="00020E7B">
      <w:pPr>
        <w:shd w:val="clear" w:color="auto" w:fill="FFFFFF"/>
        <w:spacing w:after="0" w:line="240" w:lineRule="auto"/>
        <w:ind w:left="720"/>
        <w:rPr>
          <w:rFonts w:ascii="Calibri" w:eastAsia="Times New Roman" w:hAnsi="Calibri" w:cs="Calibri"/>
          <w:color w:val="000000"/>
          <w:sz w:val="24"/>
          <w:szCs w:val="24"/>
          <w:lang w:eastAsia="fr-FR"/>
        </w:rPr>
      </w:pPr>
    </w:p>
    <w:p w14:paraId="18A8ED6A" w14:textId="0C309E4E" w:rsidR="00020E7B" w:rsidRPr="00843DB1" w:rsidRDefault="00020E7B" w:rsidP="00020E7B">
      <w:pPr>
        <w:pStyle w:val="Paragraphedeliste"/>
        <w:numPr>
          <w:ilvl w:val="0"/>
          <w:numId w:val="8"/>
        </w:numPr>
        <w:shd w:val="clear" w:color="auto" w:fill="FFFFFF"/>
        <w:spacing w:after="0" w:line="240" w:lineRule="auto"/>
        <w:rPr>
          <w:rFonts w:ascii="Calibri" w:eastAsia="Times New Roman" w:hAnsi="Calibri" w:cs="Calibri"/>
          <w:color w:val="000000"/>
          <w:sz w:val="24"/>
          <w:szCs w:val="24"/>
          <w:lang w:eastAsia="fr-FR"/>
        </w:rPr>
      </w:pPr>
      <w:r w:rsidRPr="00C20A90">
        <w:rPr>
          <w:rFonts w:ascii="Calibri" w:eastAsia="Times New Roman" w:hAnsi="Calibri" w:cs="Calibri"/>
          <w:color w:val="212121"/>
          <w:sz w:val="24"/>
          <w:szCs w:val="24"/>
          <w:lang w:eastAsia="fr-FR"/>
        </w:rPr>
        <w:t>Présenter des lettres de recommandation des chefs de service, chef de pôle, responsables d’unités. </w:t>
      </w:r>
    </w:p>
    <w:p w14:paraId="23A8BB80" w14:textId="77777777" w:rsidR="00020E7B" w:rsidRPr="00843DB1" w:rsidRDefault="00020E7B" w:rsidP="00020E7B">
      <w:pPr>
        <w:pStyle w:val="Paragraphedeliste"/>
        <w:rPr>
          <w:rFonts w:ascii="Calibri" w:eastAsia="Times New Roman" w:hAnsi="Calibri" w:cs="Calibri"/>
          <w:color w:val="000000"/>
          <w:sz w:val="24"/>
          <w:szCs w:val="24"/>
          <w:lang w:eastAsia="fr-FR"/>
        </w:rPr>
      </w:pPr>
    </w:p>
    <w:p w14:paraId="1B2DD5A0" w14:textId="2F988954" w:rsidR="00020E7B" w:rsidRDefault="00020E7B" w:rsidP="00020E7B">
      <w:pPr>
        <w:pStyle w:val="Paragraphedeliste"/>
        <w:numPr>
          <w:ilvl w:val="0"/>
          <w:numId w:val="8"/>
        </w:num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Rapport d’évaluation</w:t>
      </w:r>
      <w:r w:rsidR="0064627F">
        <w:rPr>
          <w:rFonts w:ascii="Calibri" w:eastAsia="Times New Roman" w:hAnsi="Calibri" w:cs="Calibri"/>
          <w:color w:val="000000"/>
          <w:sz w:val="24"/>
          <w:szCs w:val="24"/>
          <w:lang w:eastAsia="fr-FR"/>
        </w:rPr>
        <w:t xml:space="preserve"> des stages </w:t>
      </w:r>
      <w:r w:rsidR="0064627F" w:rsidRPr="000E5A5B">
        <w:rPr>
          <w:rFonts w:ascii="Calibri" w:eastAsia="Times New Roman" w:hAnsi="Calibri" w:cs="Calibri"/>
          <w:color w:val="000000"/>
          <w:sz w:val="24"/>
          <w:szCs w:val="24"/>
          <w:lang w:eastAsia="fr-FR"/>
        </w:rPr>
        <w:t>et</w:t>
      </w:r>
      <w:r w:rsidR="000327B4" w:rsidRPr="000E5A5B">
        <w:rPr>
          <w:rFonts w:ascii="Calibri" w:eastAsia="Times New Roman" w:hAnsi="Calibri" w:cs="Calibri"/>
          <w:color w:val="000000"/>
          <w:sz w:val="24"/>
          <w:szCs w:val="24"/>
          <w:lang w:eastAsia="fr-FR"/>
        </w:rPr>
        <w:t>, à compter des lauréats 2024,</w:t>
      </w:r>
      <w:r w:rsidR="000327B4">
        <w:rPr>
          <w:rFonts w:ascii="Calibri" w:eastAsia="Times New Roman" w:hAnsi="Calibri" w:cs="Calibri"/>
          <w:color w:val="000000"/>
          <w:sz w:val="24"/>
          <w:szCs w:val="24"/>
          <w:lang w:eastAsia="fr-FR"/>
        </w:rPr>
        <w:t xml:space="preserve"> un </w:t>
      </w:r>
      <w:r w:rsidR="0064627F">
        <w:rPr>
          <w:rFonts w:ascii="Calibri" w:eastAsia="Times New Roman" w:hAnsi="Calibri" w:cs="Calibri"/>
          <w:color w:val="000000"/>
          <w:sz w:val="24"/>
          <w:szCs w:val="24"/>
          <w:lang w:eastAsia="fr-FR"/>
        </w:rPr>
        <w:t>rapport d’évaluation du coordonnateur</w:t>
      </w:r>
      <w:r w:rsidR="00645D32">
        <w:rPr>
          <w:rFonts w:ascii="Calibri" w:eastAsia="Times New Roman" w:hAnsi="Calibri" w:cs="Calibri"/>
          <w:color w:val="000000"/>
          <w:sz w:val="24"/>
          <w:szCs w:val="24"/>
          <w:lang w:eastAsia="fr-FR"/>
        </w:rPr>
        <w:t xml:space="preserve"> </w:t>
      </w:r>
      <w:r w:rsidR="00DA52AB">
        <w:rPr>
          <w:rFonts w:ascii="Calibri" w:eastAsia="Times New Roman" w:hAnsi="Calibri" w:cs="Calibri"/>
          <w:color w:val="000000"/>
          <w:sz w:val="24"/>
          <w:szCs w:val="24"/>
          <w:lang w:eastAsia="fr-FR"/>
        </w:rPr>
        <w:t xml:space="preserve">(local et/ou régional) </w:t>
      </w:r>
      <w:r w:rsidR="0064627F">
        <w:rPr>
          <w:rFonts w:ascii="Calibri" w:eastAsia="Times New Roman" w:hAnsi="Calibri" w:cs="Calibri"/>
          <w:color w:val="000000"/>
          <w:sz w:val="24"/>
          <w:szCs w:val="24"/>
          <w:lang w:eastAsia="fr-FR"/>
        </w:rPr>
        <w:t>du DES MU</w:t>
      </w:r>
      <w:r>
        <w:rPr>
          <w:rFonts w:ascii="Calibri" w:eastAsia="Times New Roman" w:hAnsi="Calibri" w:cs="Calibri"/>
          <w:color w:val="000000"/>
          <w:sz w:val="24"/>
          <w:szCs w:val="24"/>
          <w:lang w:eastAsia="fr-FR"/>
        </w:rPr>
        <w:t xml:space="preserve">. </w:t>
      </w:r>
    </w:p>
    <w:p w14:paraId="38BD46B6" w14:textId="77777777" w:rsidR="005D6F01" w:rsidRPr="005D6F01" w:rsidRDefault="005D6F01" w:rsidP="005D6F01">
      <w:pPr>
        <w:pStyle w:val="Paragraphedeliste"/>
        <w:rPr>
          <w:rFonts w:ascii="Calibri" w:eastAsia="Times New Roman" w:hAnsi="Calibri" w:cs="Calibri"/>
          <w:color w:val="000000"/>
          <w:sz w:val="24"/>
          <w:szCs w:val="24"/>
          <w:lang w:eastAsia="fr-FR"/>
        </w:rPr>
      </w:pPr>
    </w:p>
    <w:p w14:paraId="48691079" w14:textId="77777777" w:rsidR="00020E7B" w:rsidRPr="00C20A90" w:rsidRDefault="00020E7B" w:rsidP="00020E7B">
      <w:pPr>
        <w:pStyle w:val="Paragraphedeliste"/>
        <w:rPr>
          <w:rFonts w:ascii="Calibri" w:eastAsia="Times New Roman" w:hAnsi="Calibri" w:cs="Calibri"/>
          <w:color w:val="000000"/>
          <w:sz w:val="24"/>
          <w:szCs w:val="24"/>
          <w:lang w:eastAsia="fr-FR"/>
        </w:rPr>
      </w:pPr>
    </w:p>
    <w:p w14:paraId="01A9D863" w14:textId="77777777" w:rsidR="00020E7B" w:rsidRDefault="00020E7B" w:rsidP="00020E7B">
      <w:pPr>
        <w:pStyle w:val="Paragraphedeliste"/>
        <w:numPr>
          <w:ilvl w:val="0"/>
          <w:numId w:val="8"/>
        </w:numPr>
        <w:shd w:val="clear" w:color="auto" w:fill="FFFFFF"/>
        <w:spacing w:after="0" w:line="240" w:lineRule="auto"/>
        <w:rPr>
          <w:rFonts w:ascii="Calibri" w:eastAsia="Times New Roman" w:hAnsi="Calibri" w:cs="Calibri"/>
          <w:color w:val="000000"/>
          <w:sz w:val="24"/>
          <w:szCs w:val="24"/>
          <w:lang w:eastAsia="fr-FR"/>
        </w:rPr>
      </w:pPr>
      <w:r w:rsidRPr="00C20A90">
        <w:rPr>
          <w:rFonts w:ascii="Calibri" w:eastAsia="Times New Roman" w:hAnsi="Calibri" w:cs="Calibri"/>
          <w:color w:val="000000"/>
          <w:sz w:val="24"/>
          <w:szCs w:val="24"/>
          <w:lang w:eastAsia="fr-FR"/>
        </w:rPr>
        <w:t xml:space="preserve">Apporter la preuve, sous forme d’attestations, d’un suivi de FMC/DPC des dernières années. On peut citer les congrès </w:t>
      </w:r>
      <w:r>
        <w:rPr>
          <w:rFonts w:ascii="Calibri" w:eastAsia="Times New Roman" w:hAnsi="Calibri" w:cs="Calibri"/>
          <w:color w:val="000000"/>
          <w:sz w:val="24"/>
          <w:szCs w:val="24"/>
          <w:lang w:eastAsia="fr-FR"/>
        </w:rPr>
        <w:t xml:space="preserve">organisés par les collèges </w:t>
      </w:r>
      <w:r w:rsidRPr="00C20A90">
        <w:rPr>
          <w:rFonts w:ascii="Calibri" w:eastAsia="Times New Roman" w:hAnsi="Calibri" w:cs="Calibri"/>
          <w:color w:val="000000"/>
          <w:sz w:val="24"/>
          <w:szCs w:val="24"/>
          <w:lang w:eastAsia="fr-FR"/>
        </w:rPr>
        <w:t>régionaux de médecine d’urgence, le congrès national de la SFMU en juin, les journées thématiques interactives de la SFMU en octobre et d'autres enseignements proposés par des organismes de formations certifiées QUALIOPI.</w:t>
      </w:r>
    </w:p>
    <w:p w14:paraId="6BDF0D0D" w14:textId="77777777" w:rsidR="00020E7B" w:rsidRPr="00C20A90" w:rsidRDefault="00020E7B" w:rsidP="00020E7B">
      <w:pPr>
        <w:shd w:val="clear" w:color="auto" w:fill="FFFFFF"/>
        <w:spacing w:after="0" w:line="240" w:lineRule="auto"/>
        <w:rPr>
          <w:rFonts w:ascii="Calibri" w:eastAsia="Times New Roman" w:hAnsi="Calibri" w:cs="Calibri"/>
          <w:color w:val="000000"/>
          <w:sz w:val="24"/>
          <w:szCs w:val="24"/>
          <w:lang w:eastAsia="fr-FR"/>
        </w:rPr>
      </w:pPr>
    </w:p>
    <w:p w14:paraId="6704A9AD" w14:textId="77777777" w:rsidR="00020E7B" w:rsidRPr="005E0E93" w:rsidRDefault="00020E7B" w:rsidP="00020E7B">
      <w:pPr>
        <w:shd w:val="clear" w:color="auto" w:fill="FFFFFF"/>
        <w:spacing w:after="200" w:line="240" w:lineRule="auto"/>
        <w:rPr>
          <w:rFonts w:ascii="Calibri" w:eastAsia="Times New Roman" w:hAnsi="Calibri" w:cs="Calibri"/>
          <w:color w:val="000000"/>
          <w:lang w:eastAsia="fr-FR"/>
        </w:rPr>
      </w:pPr>
      <w:r w:rsidRPr="005E0E93">
        <w:rPr>
          <w:rFonts w:ascii="Calibri" w:eastAsia="Times New Roman" w:hAnsi="Calibri" w:cs="Calibri"/>
          <w:b/>
          <w:bCs/>
          <w:color w:val="000000"/>
          <w:sz w:val="24"/>
          <w:szCs w:val="24"/>
          <w:lang w:eastAsia="fr-FR"/>
        </w:rPr>
        <w:t>Les prérequis précités représentent le socle nécessaire à l’obtention de la qualification, la commission se réservant toutes possibilités d’évaluer la pertinence de cette qualification.</w:t>
      </w:r>
    </w:p>
    <w:p w14:paraId="38EE4444" w14:textId="77777777" w:rsidR="00020E7B" w:rsidRDefault="00020E7B" w:rsidP="00020E7B">
      <w:pPr>
        <w:rPr>
          <w:sz w:val="28"/>
        </w:rPr>
      </w:pPr>
    </w:p>
    <w:p w14:paraId="27BDA631" w14:textId="3C578C36" w:rsidR="00020E7B" w:rsidRPr="00020E7B" w:rsidRDefault="00020E7B" w:rsidP="00020E7B">
      <w:pPr>
        <w:spacing w:after="0"/>
        <w:rPr>
          <w:color w:val="000000" w:themeColor="text1"/>
        </w:rPr>
      </w:pPr>
    </w:p>
    <w:p w14:paraId="18003E61" w14:textId="77777777" w:rsidR="00020E7B" w:rsidRPr="00020E7B" w:rsidRDefault="00020E7B" w:rsidP="00020E7B">
      <w:pPr>
        <w:spacing w:after="0"/>
        <w:rPr>
          <w:color w:val="000000" w:themeColor="text1"/>
          <w:u w:val="single"/>
        </w:rPr>
      </w:pPr>
    </w:p>
    <w:sectPr w:rsidR="00020E7B" w:rsidRPr="00020E7B" w:rsidSect="00092038">
      <w:pgSz w:w="16838" w:h="11906" w:orient="landscape"/>
      <w:pgMar w:top="284" w:right="395" w:bottom="426"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1931B" w14:textId="77777777" w:rsidR="004E1D76" w:rsidRDefault="004E1D76" w:rsidP="00724E1A">
      <w:pPr>
        <w:spacing w:after="0" w:line="240" w:lineRule="auto"/>
      </w:pPr>
      <w:r>
        <w:separator/>
      </w:r>
    </w:p>
  </w:endnote>
  <w:endnote w:type="continuationSeparator" w:id="0">
    <w:p w14:paraId="66B42268" w14:textId="77777777" w:rsidR="004E1D76" w:rsidRDefault="004E1D76" w:rsidP="00724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4ACAF" w14:textId="77777777" w:rsidR="004E1D76" w:rsidRDefault="004E1D76" w:rsidP="00724E1A">
      <w:pPr>
        <w:spacing w:after="0" w:line="240" w:lineRule="auto"/>
      </w:pPr>
      <w:r>
        <w:separator/>
      </w:r>
    </w:p>
  </w:footnote>
  <w:footnote w:type="continuationSeparator" w:id="0">
    <w:p w14:paraId="6A49AD80" w14:textId="77777777" w:rsidR="004E1D76" w:rsidRDefault="004E1D76" w:rsidP="00724E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7075F"/>
    <w:multiLevelType w:val="hybridMultilevel"/>
    <w:tmpl w:val="020CFC04"/>
    <w:lvl w:ilvl="0" w:tplc="E39C60A6">
      <w:start w:val="1"/>
      <w:numFmt w:val="bullet"/>
      <w:lvlText w:val="-"/>
      <w:lvlJc w:val="left"/>
      <w:pPr>
        <w:ind w:left="1080" w:hanging="360"/>
      </w:pPr>
      <w:rPr>
        <w:rFonts w:ascii="Calibri" w:eastAsiaTheme="minorHAnsi" w:hAnsi="Calibri" w:cs="Calibri" w:hint="default"/>
        <w:color w:val="000000" w:themeColor="text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486178A"/>
    <w:multiLevelType w:val="hybridMultilevel"/>
    <w:tmpl w:val="DDCA2B06"/>
    <w:lvl w:ilvl="0" w:tplc="407E9A5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17C10989"/>
    <w:multiLevelType w:val="hybridMultilevel"/>
    <w:tmpl w:val="50C2BBB6"/>
    <w:lvl w:ilvl="0" w:tplc="39E80788">
      <w:start w:val="1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B12BD1"/>
    <w:multiLevelType w:val="hybridMultilevel"/>
    <w:tmpl w:val="214EF9FA"/>
    <w:lvl w:ilvl="0" w:tplc="992217FA">
      <w:start w:val="1"/>
      <w:numFmt w:val="bullet"/>
      <w:lvlText w:val="-"/>
      <w:lvlJc w:val="left"/>
      <w:pPr>
        <w:ind w:left="1080" w:hanging="360"/>
      </w:pPr>
      <w:rPr>
        <w:rFonts w:ascii="Calibri" w:eastAsiaTheme="minorHAnsi" w:hAnsi="Calibri" w:cs="Calibri" w:hint="default"/>
        <w:color w:val="000000" w:themeColor="text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B7D4136"/>
    <w:multiLevelType w:val="hybridMultilevel"/>
    <w:tmpl w:val="BC0EE10C"/>
    <w:lvl w:ilvl="0" w:tplc="892CCF28">
      <w:start w:val="1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0E2AA9"/>
    <w:multiLevelType w:val="hybridMultilevel"/>
    <w:tmpl w:val="1B6C5044"/>
    <w:lvl w:ilvl="0" w:tplc="AB16EE12">
      <w:start w:val="1"/>
      <w:numFmt w:val="decimal"/>
      <w:lvlText w:val="%1)"/>
      <w:lvlJc w:val="left"/>
      <w:pPr>
        <w:ind w:left="720" w:hanging="360"/>
      </w:pPr>
      <w:rPr>
        <w:rFonts w:hint="default"/>
        <w:color w:val="000000" w:themeColor="text1"/>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3993AC1"/>
    <w:multiLevelType w:val="hybridMultilevel"/>
    <w:tmpl w:val="DDCA2B06"/>
    <w:lvl w:ilvl="0" w:tplc="407E9A5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6B375A05"/>
    <w:multiLevelType w:val="hybridMultilevel"/>
    <w:tmpl w:val="7AF0E7D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15820884">
    <w:abstractNumId w:val="7"/>
  </w:num>
  <w:num w:numId="2" w16cid:durableId="48110372">
    <w:abstractNumId w:val="0"/>
  </w:num>
  <w:num w:numId="3" w16cid:durableId="1631860000">
    <w:abstractNumId w:val="1"/>
  </w:num>
  <w:num w:numId="4" w16cid:durableId="884176755">
    <w:abstractNumId w:val="3"/>
  </w:num>
  <w:num w:numId="5" w16cid:durableId="1727949631">
    <w:abstractNumId w:val="5"/>
  </w:num>
  <w:num w:numId="6" w16cid:durableId="1706634819">
    <w:abstractNumId w:val="4"/>
  </w:num>
  <w:num w:numId="7" w16cid:durableId="1443840474">
    <w:abstractNumId w:val="2"/>
  </w:num>
  <w:num w:numId="8" w16cid:durableId="13045820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038"/>
    <w:rsid w:val="00020E7B"/>
    <w:rsid w:val="000327B4"/>
    <w:rsid w:val="00070979"/>
    <w:rsid w:val="00092038"/>
    <w:rsid w:val="000A726D"/>
    <w:rsid w:val="000E5A5B"/>
    <w:rsid w:val="00146885"/>
    <w:rsid w:val="001E0267"/>
    <w:rsid w:val="00200D29"/>
    <w:rsid w:val="00283C9B"/>
    <w:rsid w:val="00316F18"/>
    <w:rsid w:val="00326F38"/>
    <w:rsid w:val="0036069A"/>
    <w:rsid w:val="003779C3"/>
    <w:rsid w:val="0038760A"/>
    <w:rsid w:val="00407EB1"/>
    <w:rsid w:val="00423583"/>
    <w:rsid w:val="00487BED"/>
    <w:rsid w:val="004E1D76"/>
    <w:rsid w:val="005008E2"/>
    <w:rsid w:val="00507975"/>
    <w:rsid w:val="005938D9"/>
    <w:rsid w:val="005B27D8"/>
    <w:rsid w:val="005D6F01"/>
    <w:rsid w:val="005E0E93"/>
    <w:rsid w:val="00645D32"/>
    <w:rsid w:val="0064627F"/>
    <w:rsid w:val="00651AAE"/>
    <w:rsid w:val="00686910"/>
    <w:rsid w:val="006A6143"/>
    <w:rsid w:val="00724E1A"/>
    <w:rsid w:val="00736E7A"/>
    <w:rsid w:val="00755F5C"/>
    <w:rsid w:val="0079598B"/>
    <w:rsid w:val="00802ADB"/>
    <w:rsid w:val="00811F4B"/>
    <w:rsid w:val="00831A90"/>
    <w:rsid w:val="00833B75"/>
    <w:rsid w:val="00843DB1"/>
    <w:rsid w:val="00856C38"/>
    <w:rsid w:val="00922C0D"/>
    <w:rsid w:val="00957163"/>
    <w:rsid w:val="00A353BA"/>
    <w:rsid w:val="00A71B28"/>
    <w:rsid w:val="00AB4252"/>
    <w:rsid w:val="00AE1D7E"/>
    <w:rsid w:val="00AE79D9"/>
    <w:rsid w:val="00B07757"/>
    <w:rsid w:val="00B157C8"/>
    <w:rsid w:val="00BB7761"/>
    <w:rsid w:val="00C20A90"/>
    <w:rsid w:val="00C6109E"/>
    <w:rsid w:val="00CD7FA4"/>
    <w:rsid w:val="00CF52A9"/>
    <w:rsid w:val="00D45805"/>
    <w:rsid w:val="00D5625B"/>
    <w:rsid w:val="00DA52AB"/>
    <w:rsid w:val="00DD4679"/>
    <w:rsid w:val="00DF2632"/>
    <w:rsid w:val="00DF34E7"/>
    <w:rsid w:val="00DF7296"/>
    <w:rsid w:val="00DF7907"/>
    <w:rsid w:val="00E12BEC"/>
    <w:rsid w:val="00E229D4"/>
    <w:rsid w:val="00E2453D"/>
    <w:rsid w:val="00E473ED"/>
    <w:rsid w:val="00EB0B40"/>
    <w:rsid w:val="00EB38D0"/>
    <w:rsid w:val="00EE12AF"/>
    <w:rsid w:val="00EE4514"/>
    <w:rsid w:val="00F64CA5"/>
    <w:rsid w:val="00F726A6"/>
    <w:rsid w:val="00FC0F4A"/>
    <w:rsid w:val="00FC46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AFCC2"/>
  <w15:chartTrackingRefBased/>
  <w15:docId w15:val="{F59013A1-E8C5-4599-A33B-93FFF6D81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F726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92038"/>
    <w:pPr>
      <w:ind w:left="720"/>
      <w:contextualSpacing/>
    </w:pPr>
  </w:style>
  <w:style w:type="table" w:styleId="Grilledutableau">
    <w:name w:val="Table Grid"/>
    <w:basedOn w:val="TableauNormal"/>
    <w:uiPriority w:val="39"/>
    <w:rsid w:val="00F72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F726A6"/>
    <w:rPr>
      <w:color w:val="0000FF"/>
      <w:u w:val="single"/>
    </w:rPr>
  </w:style>
  <w:style w:type="character" w:customStyle="1" w:styleId="Titre2Car">
    <w:name w:val="Titre 2 Car"/>
    <w:basedOn w:val="Policepardfaut"/>
    <w:link w:val="Titre2"/>
    <w:uiPriority w:val="9"/>
    <w:rsid w:val="00F726A6"/>
    <w:rPr>
      <w:rFonts w:asciiTheme="majorHAnsi" w:eastAsiaTheme="majorEastAsia" w:hAnsiTheme="majorHAnsi" w:cstheme="majorBidi"/>
      <w:color w:val="2E74B5" w:themeColor="accent1" w:themeShade="BF"/>
      <w:sz w:val="26"/>
      <w:szCs w:val="26"/>
    </w:rPr>
  </w:style>
  <w:style w:type="character" w:styleId="Marquedecommentaire">
    <w:name w:val="annotation reference"/>
    <w:basedOn w:val="Policepardfaut"/>
    <w:uiPriority w:val="99"/>
    <w:semiHidden/>
    <w:unhideWhenUsed/>
    <w:rsid w:val="00487BED"/>
    <w:rPr>
      <w:sz w:val="16"/>
      <w:szCs w:val="16"/>
    </w:rPr>
  </w:style>
  <w:style w:type="paragraph" w:styleId="Commentaire">
    <w:name w:val="annotation text"/>
    <w:basedOn w:val="Normal"/>
    <w:link w:val="CommentaireCar"/>
    <w:uiPriority w:val="99"/>
    <w:unhideWhenUsed/>
    <w:rsid w:val="00487BED"/>
    <w:pPr>
      <w:spacing w:line="240" w:lineRule="auto"/>
    </w:pPr>
    <w:rPr>
      <w:sz w:val="20"/>
      <w:szCs w:val="20"/>
    </w:rPr>
  </w:style>
  <w:style w:type="character" w:customStyle="1" w:styleId="CommentaireCar">
    <w:name w:val="Commentaire Car"/>
    <w:basedOn w:val="Policepardfaut"/>
    <w:link w:val="Commentaire"/>
    <w:uiPriority w:val="99"/>
    <w:rsid w:val="00487BED"/>
    <w:rPr>
      <w:sz w:val="20"/>
      <w:szCs w:val="20"/>
    </w:rPr>
  </w:style>
  <w:style w:type="paragraph" w:styleId="Textedebulles">
    <w:name w:val="Balloon Text"/>
    <w:basedOn w:val="Normal"/>
    <w:link w:val="TextedebullesCar"/>
    <w:uiPriority w:val="99"/>
    <w:semiHidden/>
    <w:unhideWhenUsed/>
    <w:rsid w:val="00487B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87BED"/>
    <w:rPr>
      <w:rFonts w:ascii="Segoe UI" w:hAnsi="Segoe UI" w:cs="Segoe UI"/>
      <w:sz w:val="18"/>
      <w:szCs w:val="18"/>
    </w:rPr>
  </w:style>
  <w:style w:type="paragraph" w:styleId="En-tte">
    <w:name w:val="header"/>
    <w:basedOn w:val="Normal"/>
    <w:link w:val="En-tteCar"/>
    <w:uiPriority w:val="99"/>
    <w:unhideWhenUsed/>
    <w:rsid w:val="00724E1A"/>
    <w:pPr>
      <w:tabs>
        <w:tab w:val="center" w:pos="4536"/>
        <w:tab w:val="right" w:pos="9072"/>
      </w:tabs>
      <w:spacing w:after="0" w:line="240" w:lineRule="auto"/>
    </w:pPr>
  </w:style>
  <w:style w:type="character" w:customStyle="1" w:styleId="En-tteCar">
    <w:name w:val="En-tête Car"/>
    <w:basedOn w:val="Policepardfaut"/>
    <w:link w:val="En-tte"/>
    <w:uiPriority w:val="99"/>
    <w:rsid w:val="00724E1A"/>
  </w:style>
  <w:style w:type="paragraph" w:styleId="Pieddepage">
    <w:name w:val="footer"/>
    <w:basedOn w:val="Normal"/>
    <w:link w:val="PieddepageCar"/>
    <w:uiPriority w:val="99"/>
    <w:unhideWhenUsed/>
    <w:rsid w:val="00724E1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4E1A"/>
  </w:style>
  <w:style w:type="paragraph" w:styleId="Objetducommentaire">
    <w:name w:val="annotation subject"/>
    <w:basedOn w:val="Commentaire"/>
    <w:next w:val="Commentaire"/>
    <w:link w:val="ObjetducommentaireCar"/>
    <w:uiPriority w:val="99"/>
    <w:semiHidden/>
    <w:unhideWhenUsed/>
    <w:rsid w:val="00283C9B"/>
    <w:rPr>
      <w:b/>
      <w:bCs/>
    </w:rPr>
  </w:style>
  <w:style w:type="character" w:customStyle="1" w:styleId="ObjetducommentaireCar">
    <w:name w:val="Objet du commentaire Car"/>
    <w:basedOn w:val="CommentaireCar"/>
    <w:link w:val="Objetducommentaire"/>
    <w:uiPriority w:val="99"/>
    <w:semiHidden/>
    <w:rsid w:val="00283C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46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1453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NGON, Olivia (AGC-CNG)</cp:lastModifiedBy>
  <cp:revision>2</cp:revision>
  <dcterms:created xsi:type="dcterms:W3CDTF">2026-05-14T07:00:00Z</dcterms:created>
  <dcterms:modified xsi:type="dcterms:W3CDTF">2026-05-14T07:00:00Z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2026-05-14T07:00:34Z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e622b536-7624-4620-af44-aa6a7b4db99b</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