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71B27" w14:textId="77777777" w:rsidR="002504EC" w:rsidRPr="009F04EE" w:rsidRDefault="002504EC" w:rsidP="009F04EE">
      <w:pPr>
        <w:pBdr>
          <w:top w:val="single" w:sz="4" w:space="1" w:color="auto"/>
        </w:pBdr>
        <w:jc w:val="center"/>
        <w:rPr>
          <w:b/>
          <w:sz w:val="24"/>
        </w:rPr>
      </w:pPr>
    </w:p>
    <w:p w14:paraId="32796CA1" w14:textId="77777777" w:rsidR="009F04EE" w:rsidRPr="009F04EE" w:rsidRDefault="009F04EE" w:rsidP="009F04EE">
      <w:pPr>
        <w:jc w:val="center"/>
        <w:rPr>
          <w:b/>
          <w:sz w:val="24"/>
        </w:rPr>
      </w:pPr>
      <w:r w:rsidRPr="009F04EE">
        <w:rPr>
          <w:b/>
          <w:sz w:val="24"/>
        </w:rPr>
        <w:t>Elément d'information concernant le poste</w:t>
      </w:r>
    </w:p>
    <w:p w14:paraId="77491E92" w14:textId="77777777" w:rsidR="009F04EE" w:rsidRPr="009F04EE" w:rsidRDefault="009F04EE" w:rsidP="009F04EE">
      <w:pPr>
        <w:jc w:val="center"/>
        <w:rPr>
          <w:b/>
          <w:sz w:val="24"/>
        </w:rPr>
      </w:pPr>
      <w:r w:rsidRPr="009F04EE">
        <w:rPr>
          <w:b/>
          <w:sz w:val="24"/>
        </w:rPr>
        <w:t>A publier au Journal officiel</w:t>
      </w:r>
    </w:p>
    <w:p w14:paraId="4B26CF2F" w14:textId="77777777" w:rsidR="009F04EE" w:rsidRPr="009F04EE" w:rsidRDefault="009F04EE" w:rsidP="009F04EE">
      <w:pPr>
        <w:pBdr>
          <w:bottom w:val="single" w:sz="4" w:space="1" w:color="auto"/>
        </w:pBdr>
        <w:jc w:val="center"/>
        <w:rPr>
          <w:b/>
          <w:sz w:val="24"/>
        </w:rPr>
      </w:pPr>
    </w:p>
    <w:p w14:paraId="2AE71990" w14:textId="77777777" w:rsidR="009F04EE" w:rsidRDefault="009F04EE"/>
    <w:p w14:paraId="7ECC7AD5" w14:textId="77777777" w:rsidR="009F04EE" w:rsidRPr="0057722E" w:rsidRDefault="009F04EE" w:rsidP="009F04EE">
      <w:pPr>
        <w:rPr>
          <w:b/>
        </w:rPr>
      </w:pPr>
      <w:r w:rsidRPr="0057722E">
        <w:rPr>
          <w:b/>
        </w:rPr>
        <w:t>Nom de l'établissement</w:t>
      </w:r>
    </w:p>
    <w:p w14:paraId="05912F33" w14:textId="77777777" w:rsidR="001820E8" w:rsidRDefault="001820E8" w:rsidP="009F04EE"/>
    <w:tbl>
      <w:tblPr>
        <w:tblStyle w:val="Grilledutableau"/>
        <w:tblW w:w="0" w:type="auto"/>
        <w:tblInd w:w="108" w:type="dxa"/>
        <w:tblLook w:val="04A0" w:firstRow="1" w:lastRow="0" w:firstColumn="1" w:lastColumn="0" w:noHBand="0" w:noVBand="1"/>
      </w:tblPr>
      <w:tblGrid>
        <w:gridCol w:w="9104"/>
      </w:tblGrid>
      <w:tr w:rsidR="001820E8" w14:paraId="15B35CBA" w14:textId="77777777" w:rsidTr="00977A88">
        <w:trPr>
          <w:trHeight w:val="850"/>
        </w:trPr>
        <w:tc>
          <w:tcPr>
            <w:tcW w:w="9104" w:type="dxa"/>
            <w:vAlign w:val="center"/>
          </w:tcPr>
          <w:p w14:paraId="2DCC67B5" w14:textId="77777777" w:rsidR="001820E8" w:rsidRDefault="009016D0" w:rsidP="00977A88">
            <w:r>
              <w:rPr>
                <w:rFonts w:cs="Arial"/>
                <w:b/>
                <w:color w:val="000000"/>
              </w:rPr>
              <w:t>CH Côte d’Argent – Boulevard Yves du Manoir – BP 323 – 40107 DAX CEDEX</w:t>
            </w:r>
          </w:p>
        </w:tc>
      </w:tr>
    </w:tbl>
    <w:p w14:paraId="1CF91A79" w14:textId="77777777" w:rsidR="001820E8" w:rsidRDefault="001820E8" w:rsidP="009F04EE"/>
    <w:p w14:paraId="1B7951B3" w14:textId="77777777" w:rsidR="001820E8" w:rsidRDefault="001820E8" w:rsidP="009F04EE"/>
    <w:p w14:paraId="18400D48" w14:textId="77777777" w:rsidR="001820E8" w:rsidRPr="0057722E" w:rsidRDefault="001820E8" w:rsidP="009F04EE">
      <w:pPr>
        <w:rPr>
          <w:b/>
        </w:rPr>
      </w:pPr>
      <w:r w:rsidRPr="0057722E">
        <w:rPr>
          <w:b/>
        </w:rPr>
        <w:t>Intitulé du poste</w:t>
      </w:r>
    </w:p>
    <w:p w14:paraId="6C4A410B" w14:textId="77777777" w:rsidR="001820E8" w:rsidRDefault="001820E8" w:rsidP="009F04EE"/>
    <w:tbl>
      <w:tblPr>
        <w:tblStyle w:val="Grilledutableau"/>
        <w:tblW w:w="0" w:type="auto"/>
        <w:tblInd w:w="108" w:type="dxa"/>
        <w:tblLook w:val="04A0" w:firstRow="1" w:lastRow="0" w:firstColumn="1" w:lastColumn="0" w:noHBand="0" w:noVBand="1"/>
      </w:tblPr>
      <w:tblGrid>
        <w:gridCol w:w="9104"/>
      </w:tblGrid>
      <w:tr w:rsidR="001820E8" w:rsidRPr="002C708B" w14:paraId="73888AF2" w14:textId="77777777" w:rsidTr="00977A88">
        <w:trPr>
          <w:trHeight w:val="850"/>
        </w:trPr>
        <w:tc>
          <w:tcPr>
            <w:tcW w:w="9104" w:type="dxa"/>
            <w:vAlign w:val="center"/>
          </w:tcPr>
          <w:p w14:paraId="77AE448B" w14:textId="77777777" w:rsidR="001820E8" w:rsidRPr="002C708B" w:rsidRDefault="002C708B" w:rsidP="00A82CC1">
            <w:pPr>
              <w:rPr>
                <w:color w:val="FF0000"/>
              </w:rPr>
            </w:pPr>
            <w:r w:rsidRPr="00A82CC1">
              <w:t xml:space="preserve">Directeur </w:t>
            </w:r>
            <w:r w:rsidR="00A82CC1" w:rsidRPr="00A82CC1">
              <w:t xml:space="preserve">du </w:t>
            </w:r>
            <w:r w:rsidRPr="00A82CC1">
              <w:t>C</w:t>
            </w:r>
            <w:r w:rsidR="00A82CC1" w:rsidRPr="00A82CC1">
              <w:t>entre hospitalier de Dax – Côte d’Argent</w:t>
            </w:r>
          </w:p>
        </w:tc>
      </w:tr>
    </w:tbl>
    <w:p w14:paraId="584748E5" w14:textId="77777777" w:rsidR="009F04EE" w:rsidRPr="002C708B" w:rsidRDefault="009F04EE">
      <w:pPr>
        <w:rPr>
          <w:color w:val="FF0000"/>
        </w:rPr>
      </w:pPr>
    </w:p>
    <w:p w14:paraId="41C45115" w14:textId="77777777" w:rsidR="001820E8" w:rsidRDefault="001820E8"/>
    <w:p w14:paraId="23676EF1" w14:textId="77777777" w:rsidR="001820E8" w:rsidRDefault="001820E8" w:rsidP="001820E8">
      <w:pPr>
        <w:pStyle w:val="Paragraphedeliste"/>
      </w:pPr>
      <w:r w:rsidRPr="001820E8">
        <w:rPr>
          <w:b/>
        </w:rPr>
        <w:t>Description de l'établissement (les enjeux fondamentaux de l'établissement notamment au regard de l'offre de soins territoriale)</w:t>
      </w:r>
    </w:p>
    <w:p w14:paraId="5217E4FF" w14:textId="77777777" w:rsidR="009F04EE" w:rsidRDefault="009F04EE"/>
    <w:p w14:paraId="79B8F57B" w14:textId="77777777" w:rsidR="002E504C" w:rsidRDefault="002E504C"/>
    <w:tbl>
      <w:tblPr>
        <w:tblStyle w:val="Grilledutableau"/>
        <w:tblW w:w="0" w:type="auto"/>
        <w:tblLook w:val="04A0" w:firstRow="1" w:lastRow="0" w:firstColumn="1" w:lastColumn="0" w:noHBand="0" w:noVBand="1"/>
      </w:tblPr>
      <w:tblGrid>
        <w:gridCol w:w="9212"/>
      </w:tblGrid>
      <w:tr w:rsidR="002E504C" w14:paraId="4338CB94" w14:textId="77777777" w:rsidTr="002E504C">
        <w:tc>
          <w:tcPr>
            <w:tcW w:w="9212" w:type="dxa"/>
          </w:tcPr>
          <w:p w14:paraId="47AE70A3"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szCs w:val="20"/>
                <w:lang w:eastAsia="en-US"/>
              </w:rPr>
            </w:pPr>
          </w:p>
          <w:p w14:paraId="0A23E7EC" w14:textId="3ECE6AF8" w:rsidR="002E504C" w:rsidRDefault="002E504C" w:rsidP="001B38AA">
            <w:pPr>
              <w:pBdr>
                <w:top w:val="single" w:sz="4" w:space="1" w:color="auto"/>
                <w:left w:val="single" w:sz="4" w:space="4" w:color="auto"/>
                <w:right w:val="single" w:sz="4" w:space="4" w:color="auto"/>
              </w:pBdr>
              <w:tabs>
                <w:tab w:val="left" w:pos="1845"/>
              </w:tabs>
              <w:jc w:val="both"/>
              <w:rPr>
                <w:rFonts w:cs="Arial"/>
                <w:szCs w:val="20"/>
              </w:rPr>
            </w:pPr>
            <w:r w:rsidRPr="00995A8B">
              <w:rPr>
                <w:rFonts w:cs="Arial"/>
                <w:szCs w:val="20"/>
                <w:lang w:eastAsia="en-US"/>
              </w:rPr>
              <w:t>Le centre hospitalier de Dax est le second établissement public de santé du territoire des Landes. Etablissement de référence, avec un bassin de population estimé à 200.000 habitants, et situé à 20 km de l’océan, son activité est doublée pendant la période estivale du fait de l’attractivité des côtes landaises, ainsi que du passage des flux de circulation sur l’A63. Dax est également v</w:t>
            </w:r>
            <w:r w:rsidRPr="00995A8B">
              <w:rPr>
                <w:rFonts w:cs="Arial"/>
                <w:szCs w:val="20"/>
              </w:rPr>
              <w:t xml:space="preserve">ille thermale avec 70.000 curistes aux besoins spécifiques, et voit sa population s’accroitre par l’accueil et l’installation de nombreuses personnes </w:t>
            </w:r>
            <w:r w:rsidR="00E41DCE" w:rsidRPr="00995A8B">
              <w:rPr>
                <w:rFonts w:cs="Arial"/>
                <w:szCs w:val="20"/>
              </w:rPr>
              <w:t>à la retraite</w:t>
            </w:r>
            <w:r w:rsidRPr="00995A8B">
              <w:rPr>
                <w:rFonts w:cs="Arial"/>
                <w:szCs w:val="20"/>
              </w:rPr>
              <w:t xml:space="preserve">. </w:t>
            </w:r>
          </w:p>
          <w:p w14:paraId="1E84FFE2"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szCs w:val="20"/>
              </w:rPr>
            </w:pPr>
          </w:p>
          <w:p w14:paraId="6F594EF3"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szCs w:val="20"/>
                <w:lang w:eastAsia="en-US"/>
              </w:rPr>
            </w:pPr>
            <w:r w:rsidRPr="00995A8B">
              <w:rPr>
                <w:rFonts w:cs="Arial"/>
                <w:szCs w:val="20"/>
                <w:lang w:eastAsia="en-US"/>
              </w:rPr>
              <w:t xml:space="preserve">Offrant une médecine de proximité, ainsi que des équipements et du matériel de haute technicité à la pointe du progrès médical, le CH de Dax a été certifié par la HAS en 2016. </w:t>
            </w:r>
          </w:p>
          <w:p w14:paraId="5036B5EA"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szCs w:val="20"/>
                <w:lang w:eastAsia="en-US"/>
              </w:rPr>
            </w:pPr>
          </w:p>
          <w:p w14:paraId="5DEDB2BD"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Le candidat retenu aura à veiller au maintien de la trajectoire de l'établissement</w:t>
            </w:r>
            <w:r>
              <w:rPr>
                <w:rFonts w:cs="Arial"/>
                <w:color w:val="000000" w:themeColor="text1"/>
                <w:szCs w:val="20"/>
              </w:rPr>
              <w:t xml:space="preserve"> (projet d’établissement)</w:t>
            </w:r>
            <w:r w:rsidRPr="000E2784">
              <w:rPr>
                <w:rFonts w:cs="Arial"/>
                <w:color w:val="000000" w:themeColor="text1"/>
                <w:szCs w:val="20"/>
              </w:rPr>
              <w:t xml:space="preserve"> et devra à ce titre maîtriser les sujets financiers</w:t>
            </w:r>
            <w:r>
              <w:rPr>
                <w:rFonts w:cs="Arial"/>
                <w:color w:val="000000" w:themeColor="text1"/>
                <w:szCs w:val="20"/>
              </w:rPr>
              <w:t>. Il conduira notamment tous les travaux de restructuration immobilière du bloc opératoire et de la chirurgie, des plateaux techniques de réanimation/ usc/ radiothérapie / hélistation/ urgences.</w:t>
            </w:r>
          </w:p>
          <w:p w14:paraId="02EEE99C"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color w:val="000000" w:themeColor="text1"/>
                <w:szCs w:val="20"/>
              </w:rPr>
            </w:pPr>
          </w:p>
          <w:p w14:paraId="2284BD32"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 xml:space="preserve">Il devra conduire, dans le dialogue et l'ouverture, l'ensemble des partenariats, et en particulier </w:t>
            </w:r>
            <w:r>
              <w:rPr>
                <w:rFonts w:cs="Arial"/>
                <w:color w:val="000000" w:themeColor="text1"/>
                <w:szCs w:val="20"/>
              </w:rPr>
              <w:t xml:space="preserve">s’associer à </w:t>
            </w:r>
            <w:r w:rsidRPr="000E2784">
              <w:rPr>
                <w:rFonts w:cs="Arial"/>
                <w:color w:val="000000" w:themeColor="text1"/>
                <w:szCs w:val="20"/>
              </w:rPr>
              <w:t>la politique de santé sanitaire sur le territoire e</w:t>
            </w:r>
            <w:r>
              <w:rPr>
                <w:rFonts w:cs="Arial"/>
                <w:color w:val="000000" w:themeColor="text1"/>
                <w:szCs w:val="20"/>
              </w:rPr>
              <w:t xml:space="preserve">n secondant le directeur du GHT des Landes, afin de conforter la </w:t>
            </w:r>
            <w:r w:rsidRPr="000E2784">
              <w:rPr>
                <w:rFonts w:cs="Arial"/>
                <w:color w:val="000000" w:themeColor="text1"/>
                <w:szCs w:val="20"/>
              </w:rPr>
              <w:t xml:space="preserve">coopération </w:t>
            </w:r>
            <w:r>
              <w:rPr>
                <w:rFonts w:cs="Arial"/>
                <w:color w:val="000000" w:themeColor="text1"/>
                <w:szCs w:val="20"/>
              </w:rPr>
              <w:t xml:space="preserve">des centres hospitaliers de Dax, Mont-de-Marsan et St Sever. Pour ce faire, il s’appuiera sur le projet médical du CH mais aussi participera activement à l’ajustement du </w:t>
            </w:r>
            <w:r w:rsidRPr="000E2784">
              <w:rPr>
                <w:rFonts w:cs="Arial"/>
                <w:color w:val="000000" w:themeColor="text1"/>
                <w:szCs w:val="20"/>
              </w:rPr>
              <w:t>projet médical partagé et d’activités médicales partagées (cardiolog</w:t>
            </w:r>
            <w:r>
              <w:rPr>
                <w:rFonts w:cs="Arial"/>
                <w:color w:val="000000" w:themeColor="text1"/>
                <w:szCs w:val="20"/>
              </w:rPr>
              <w:t xml:space="preserve">ie, neurologie, ORL, psychiatrie notamment). Des équipes communes seront mises en place y compris dans les autres domaines (qualité, logistique, etc…). </w:t>
            </w:r>
          </w:p>
          <w:p w14:paraId="595AF17E"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color w:val="000000" w:themeColor="text1"/>
                <w:szCs w:val="20"/>
              </w:rPr>
            </w:pPr>
          </w:p>
          <w:p w14:paraId="10EF66D0"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color w:val="000000" w:themeColor="text1"/>
                <w:szCs w:val="20"/>
              </w:rPr>
            </w:pPr>
            <w:r>
              <w:rPr>
                <w:rFonts w:cs="Arial"/>
                <w:color w:val="000000" w:themeColor="text1"/>
                <w:szCs w:val="20"/>
              </w:rPr>
              <w:t xml:space="preserve">Il conduira des objectifs de santé publique pour améliorer l’accès aux soins des personnes les plus fragiles, impliquer les usagers, </w:t>
            </w:r>
            <w:r w:rsidR="003C418B">
              <w:rPr>
                <w:rFonts w:cs="Arial"/>
                <w:color w:val="000000" w:themeColor="text1"/>
                <w:szCs w:val="20"/>
              </w:rPr>
              <w:t>conduire le partenariat avec la médecine de ville (projet de maison médicale de garde), développer des consultations avancées, accompagner les établissements sociaux et médico-sociaux.</w:t>
            </w:r>
          </w:p>
          <w:p w14:paraId="4B47EC97"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color w:val="000000" w:themeColor="text1"/>
                <w:szCs w:val="20"/>
              </w:rPr>
            </w:pPr>
          </w:p>
          <w:p w14:paraId="214C2B15" w14:textId="77777777" w:rsidR="002E504C" w:rsidRDefault="002E504C" w:rsidP="001B38AA">
            <w:pPr>
              <w:pBdr>
                <w:top w:val="single" w:sz="4" w:space="1" w:color="auto"/>
                <w:left w:val="single" w:sz="4" w:space="4" w:color="auto"/>
                <w:right w:val="single" w:sz="4" w:space="4" w:color="auto"/>
              </w:pBdr>
              <w:tabs>
                <w:tab w:val="left" w:pos="1845"/>
              </w:tabs>
              <w:jc w:val="both"/>
              <w:rPr>
                <w:rFonts w:cs="Arial"/>
                <w:color w:val="000000" w:themeColor="text1"/>
                <w:szCs w:val="20"/>
              </w:rPr>
            </w:pPr>
          </w:p>
          <w:p w14:paraId="021D9063" w14:textId="77777777" w:rsidR="002E504C" w:rsidRDefault="002E504C"/>
        </w:tc>
      </w:tr>
    </w:tbl>
    <w:p w14:paraId="74E6CDA6" w14:textId="77777777" w:rsidR="002E504C" w:rsidRDefault="002E504C"/>
    <w:p w14:paraId="556C44D3" w14:textId="77777777" w:rsidR="002E504C" w:rsidRDefault="002E504C"/>
    <w:p w14:paraId="359945AB" w14:textId="77777777" w:rsidR="001820E8" w:rsidRDefault="001820E8"/>
    <w:p w14:paraId="541283FE" w14:textId="77777777" w:rsidR="001820E8" w:rsidRDefault="001820E8">
      <w:r>
        <w:br w:type="page"/>
      </w:r>
    </w:p>
    <w:p w14:paraId="655E7D10" w14:textId="77777777" w:rsidR="001820E8" w:rsidRDefault="001820E8"/>
    <w:p w14:paraId="74F0CE30" w14:textId="77777777" w:rsidR="001820E8" w:rsidRDefault="001820E8" w:rsidP="001820E8">
      <w:pPr>
        <w:pStyle w:val="Paragraphedeliste"/>
      </w:pPr>
      <w:r w:rsidRPr="0057722E">
        <w:rPr>
          <w:b/>
        </w:rPr>
        <w:t>Description du poste (missions et activités)</w:t>
      </w:r>
      <w:r>
        <w:t xml:space="preserve"> [2000 caractères maxi]</w:t>
      </w:r>
    </w:p>
    <w:p w14:paraId="5522FF8C" w14:textId="77777777" w:rsidR="001820E8" w:rsidRDefault="001820E8"/>
    <w:tbl>
      <w:tblPr>
        <w:tblStyle w:val="Grilledutableau"/>
        <w:tblW w:w="0" w:type="auto"/>
        <w:tblInd w:w="108" w:type="dxa"/>
        <w:tblLook w:val="04A0" w:firstRow="1" w:lastRow="0" w:firstColumn="1" w:lastColumn="0" w:noHBand="0" w:noVBand="1"/>
      </w:tblPr>
      <w:tblGrid>
        <w:gridCol w:w="9104"/>
      </w:tblGrid>
      <w:tr w:rsidR="001820E8" w14:paraId="0A5C513A" w14:textId="77777777" w:rsidTr="001B38AA">
        <w:trPr>
          <w:trHeight w:val="2400"/>
        </w:trPr>
        <w:tc>
          <w:tcPr>
            <w:tcW w:w="9104" w:type="dxa"/>
          </w:tcPr>
          <w:p w14:paraId="3AB27E4B" w14:textId="77777777" w:rsidR="00445B91" w:rsidRPr="00445B91" w:rsidRDefault="00445B91" w:rsidP="00445B91">
            <w:pPr>
              <w:pBdr>
                <w:top w:val="single" w:sz="4" w:space="1" w:color="auto"/>
                <w:left w:val="single" w:sz="4" w:space="4" w:color="auto"/>
                <w:bottom w:val="single" w:sz="4" w:space="1" w:color="auto"/>
                <w:right w:val="single" w:sz="4" w:space="4" w:color="auto"/>
              </w:pBdr>
              <w:tabs>
                <w:tab w:val="left" w:pos="1845"/>
              </w:tabs>
              <w:rPr>
                <w:rFonts w:cs="Arial"/>
                <w:color w:val="000000"/>
                <w:szCs w:val="20"/>
              </w:rPr>
            </w:pPr>
          </w:p>
          <w:p w14:paraId="6CA3D451"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L'emploi s'adresse à un cadre de haut niveau fonctionnaire, ou agent contractuel, avec une expérience d'activités professionnelles diversifiées en tant que cadre supérieur sur des fonctions de direction, d'encadrement ou d'expertise et ayant une excellente connaissance des politiques de santé.</w:t>
            </w:r>
          </w:p>
          <w:p w14:paraId="641515CB" w14:textId="77777777" w:rsidR="000E2784" w:rsidRDefault="000E2784"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p>
          <w:p w14:paraId="17F1FC04"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Il est important que le candidat dispose des connaissances professionnelles acquises à partir :</w:t>
            </w:r>
          </w:p>
          <w:p w14:paraId="395DF52D"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p>
          <w:p w14:paraId="6493A360"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 d'expériences avérées en matière de gestion financière, ressources humaines, affaires médicales ;</w:t>
            </w:r>
          </w:p>
          <w:p w14:paraId="0EEF8686"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 de la maîtrise des outils juridiques des coopérations entre établissements de santé publics et privés ;</w:t>
            </w:r>
          </w:p>
          <w:p w14:paraId="160884B2"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 de grandes capacités de travail et d'adaptation ;</w:t>
            </w:r>
          </w:p>
          <w:p w14:paraId="5FD7551D"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 de maîtrise du management, de l'animation et de la coordination d'équipes pluridisciplinaires ;</w:t>
            </w:r>
          </w:p>
          <w:p w14:paraId="62E91911"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 de bonne compréhension des enjeux politiques du territoire ;</w:t>
            </w:r>
          </w:p>
          <w:p w14:paraId="237391B8"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 de contribution à la cohésion d'équipe afin d'entretenir un climat social serein par le biais d'un dialogue social soutenu ;</w:t>
            </w:r>
          </w:p>
          <w:p w14:paraId="23AA12F1"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 de leadership adéquat dans le pilotage des instances de gouvernance multiples ;</w:t>
            </w:r>
          </w:p>
          <w:p w14:paraId="4EA56BE3" w14:textId="77777777" w:rsidR="00445B91" w:rsidRPr="000E2784"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 de capacité à communiquer en interne et en externe sur les projets et les réalisations ;</w:t>
            </w:r>
          </w:p>
          <w:p w14:paraId="3B28B01E" w14:textId="77777777" w:rsidR="00445B91" w:rsidRDefault="00445B91"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r w:rsidRPr="000E2784">
              <w:rPr>
                <w:rFonts w:cs="Arial"/>
                <w:color w:val="000000" w:themeColor="text1"/>
                <w:szCs w:val="20"/>
              </w:rPr>
              <w:t>- savoir gérer les situations de crise interne et externe</w:t>
            </w:r>
            <w:r w:rsidR="000E2784">
              <w:rPr>
                <w:rFonts w:cs="Arial"/>
                <w:color w:val="000000" w:themeColor="text1"/>
                <w:szCs w:val="20"/>
              </w:rPr>
              <w:t>.</w:t>
            </w:r>
          </w:p>
          <w:p w14:paraId="22F941C5" w14:textId="77777777" w:rsidR="000E2784" w:rsidRDefault="000E2784" w:rsidP="00445B91">
            <w:pPr>
              <w:pBdr>
                <w:top w:val="single" w:sz="4" w:space="1" w:color="auto"/>
                <w:left w:val="single" w:sz="4" w:space="4" w:color="auto"/>
                <w:bottom w:val="single" w:sz="4" w:space="1" w:color="auto"/>
                <w:right w:val="single" w:sz="4" w:space="4" w:color="auto"/>
              </w:pBdr>
              <w:tabs>
                <w:tab w:val="left" w:pos="1845"/>
              </w:tabs>
              <w:jc w:val="both"/>
              <w:rPr>
                <w:rFonts w:cs="Arial"/>
                <w:color w:val="000000" w:themeColor="text1"/>
                <w:szCs w:val="20"/>
              </w:rPr>
            </w:pPr>
          </w:p>
          <w:p w14:paraId="4F5CF85C" w14:textId="77777777" w:rsidR="003C418B" w:rsidRPr="00995A8B" w:rsidRDefault="003C418B" w:rsidP="003C418B">
            <w:pPr>
              <w:rPr>
                <w:rFonts w:cs="Arial"/>
                <w:szCs w:val="20"/>
              </w:rPr>
            </w:pPr>
          </w:p>
          <w:p w14:paraId="3CB0BA70" w14:textId="77777777" w:rsidR="003C418B" w:rsidRPr="00995A8B" w:rsidRDefault="003C418B" w:rsidP="003C418B">
            <w:pPr>
              <w:rPr>
                <w:rFonts w:cs="Arial"/>
                <w:szCs w:val="20"/>
              </w:rPr>
            </w:pPr>
            <w:r w:rsidRPr="00995A8B">
              <w:rPr>
                <w:rFonts w:cs="Arial"/>
                <w:szCs w:val="20"/>
              </w:rPr>
              <w:t>La capacité totale d'accueil du CH de Dax est de près de 1000 lits et places :</w:t>
            </w:r>
          </w:p>
          <w:p w14:paraId="62ED2C6F" w14:textId="77777777" w:rsidR="001B38AA" w:rsidRDefault="001B38AA" w:rsidP="003C418B">
            <w:pPr>
              <w:rPr>
                <w:rFonts w:cs="Arial"/>
                <w:szCs w:val="20"/>
              </w:rPr>
            </w:pPr>
          </w:p>
          <w:p w14:paraId="3FCE7EAF" w14:textId="77777777" w:rsidR="003C418B" w:rsidRPr="00995A8B" w:rsidRDefault="003C418B" w:rsidP="003C418B">
            <w:pPr>
              <w:rPr>
                <w:rFonts w:cs="Arial"/>
                <w:szCs w:val="20"/>
              </w:rPr>
            </w:pPr>
            <w:r w:rsidRPr="00995A8B">
              <w:rPr>
                <w:rFonts w:cs="Arial"/>
                <w:szCs w:val="20"/>
              </w:rPr>
              <w:t>Site Vincent de Paul (Dax)</w:t>
            </w:r>
          </w:p>
          <w:p w14:paraId="6FDEC9AD" w14:textId="77777777" w:rsidR="003C418B" w:rsidRPr="00995A8B" w:rsidRDefault="003C418B" w:rsidP="003C418B">
            <w:pPr>
              <w:rPr>
                <w:rFonts w:cs="Arial"/>
                <w:szCs w:val="20"/>
              </w:rPr>
            </w:pPr>
            <w:r w:rsidRPr="00995A8B">
              <w:rPr>
                <w:rFonts w:cs="Arial"/>
                <w:szCs w:val="20"/>
              </w:rPr>
              <w:t>380 lits et places d’hospitalisation complète et de jour dont :</w:t>
            </w:r>
          </w:p>
          <w:p w14:paraId="50EBE456" w14:textId="77777777" w:rsidR="003C418B" w:rsidRPr="00995A8B" w:rsidRDefault="003C418B" w:rsidP="003C418B">
            <w:pPr>
              <w:rPr>
                <w:rFonts w:cs="Arial"/>
                <w:szCs w:val="20"/>
              </w:rPr>
            </w:pPr>
            <w:r w:rsidRPr="00995A8B">
              <w:rPr>
                <w:rFonts w:cs="Arial"/>
                <w:szCs w:val="20"/>
              </w:rPr>
              <w:t>• 227 en Médecine et Spécialités</w:t>
            </w:r>
          </w:p>
          <w:p w14:paraId="04A3A611" w14:textId="77777777" w:rsidR="003C418B" w:rsidRPr="00995A8B" w:rsidRDefault="003C418B" w:rsidP="003C418B">
            <w:pPr>
              <w:rPr>
                <w:rFonts w:cs="Arial"/>
                <w:szCs w:val="20"/>
              </w:rPr>
            </w:pPr>
            <w:r w:rsidRPr="00995A8B">
              <w:rPr>
                <w:rFonts w:cs="Arial"/>
                <w:szCs w:val="20"/>
              </w:rPr>
              <w:t>• 8 en Réanimation et 8 unités de Surveillance Continue, 10 en UHCD</w:t>
            </w:r>
          </w:p>
          <w:p w14:paraId="15268018" w14:textId="77777777" w:rsidR="003C418B" w:rsidRPr="00995A8B" w:rsidRDefault="003C418B" w:rsidP="003C418B">
            <w:pPr>
              <w:rPr>
                <w:rFonts w:cs="Arial"/>
                <w:szCs w:val="20"/>
              </w:rPr>
            </w:pPr>
            <w:r w:rsidRPr="00995A8B">
              <w:rPr>
                <w:rFonts w:cs="Arial"/>
                <w:szCs w:val="20"/>
              </w:rPr>
              <w:t>• 72 en Chirurgie, Urologie et Spécialités, UCA</w:t>
            </w:r>
          </w:p>
          <w:p w14:paraId="010CC8C1" w14:textId="77777777" w:rsidR="003C418B" w:rsidRPr="00995A8B" w:rsidRDefault="003C418B" w:rsidP="003C418B">
            <w:pPr>
              <w:rPr>
                <w:rFonts w:cs="Arial"/>
                <w:szCs w:val="20"/>
              </w:rPr>
            </w:pPr>
            <w:r w:rsidRPr="00995A8B">
              <w:rPr>
                <w:rFonts w:cs="Arial"/>
                <w:szCs w:val="20"/>
              </w:rPr>
              <w:t>• 42 en Gynécologie - Obstétrique</w:t>
            </w:r>
          </w:p>
          <w:p w14:paraId="627E31C8" w14:textId="77777777" w:rsidR="003C418B" w:rsidRPr="00995A8B" w:rsidRDefault="003C418B" w:rsidP="003C418B">
            <w:pPr>
              <w:rPr>
                <w:rFonts w:cs="Arial"/>
                <w:szCs w:val="20"/>
              </w:rPr>
            </w:pPr>
            <w:r w:rsidRPr="00995A8B">
              <w:rPr>
                <w:rFonts w:cs="Arial"/>
                <w:szCs w:val="20"/>
              </w:rPr>
              <w:t>• 15 en Psychiatrie</w:t>
            </w:r>
          </w:p>
          <w:p w14:paraId="1E48C32A" w14:textId="77777777" w:rsidR="001B38AA" w:rsidRDefault="001B38AA" w:rsidP="003C418B">
            <w:pPr>
              <w:rPr>
                <w:rFonts w:cs="Arial"/>
                <w:szCs w:val="20"/>
              </w:rPr>
            </w:pPr>
          </w:p>
          <w:p w14:paraId="6873EAB6" w14:textId="77777777" w:rsidR="003C418B" w:rsidRPr="00995A8B" w:rsidRDefault="003C418B" w:rsidP="003C418B">
            <w:pPr>
              <w:rPr>
                <w:rFonts w:cs="Arial"/>
                <w:szCs w:val="20"/>
              </w:rPr>
            </w:pPr>
            <w:r w:rsidRPr="00995A8B">
              <w:rPr>
                <w:rFonts w:cs="Arial"/>
                <w:szCs w:val="20"/>
              </w:rPr>
              <w:t>Site Saint-Eutrope (Dax)</w:t>
            </w:r>
          </w:p>
          <w:p w14:paraId="42003AC2" w14:textId="77777777" w:rsidR="003C418B" w:rsidRPr="00995A8B" w:rsidRDefault="003C418B" w:rsidP="003C418B">
            <w:pPr>
              <w:rPr>
                <w:rFonts w:cs="Arial"/>
                <w:szCs w:val="20"/>
              </w:rPr>
            </w:pPr>
            <w:r w:rsidRPr="00995A8B">
              <w:rPr>
                <w:rFonts w:cs="Arial"/>
                <w:szCs w:val="20"/>
              </w:rPr>
              <w:t>• 60 chambres pour l'hospitalisation de cure thermale</w:t>
            </w:r>
          </w:p>
          <w:p w14:paraId="1DDAFADF" w14:textId="77777777" w:rsidR="003C418B" w:rsidRPr="00995A8B" w:rsidRDefault="003C418B" w:rsidP="003C418B">
            <w:pPr>
              <w:rPr>
                <w:rFonts w:cs="Arial"/>
                <w:szCs w:val="20"/>
              </w:rPr>
            </w:pPr>
            <w:r w:rsidRPr="00995A8B">
              <w:rPr>
                <w:rFonts w:cs="Arial"/>
                <w:szCs w:val="20"/>
              </w:rPr>
              <w:t>• URCET 10 places</w:t>
            </w:r>
          </w:p>
          <w:p w14:paraId="74D7010B" w14:textId="77777777" w:rsidR="003C418B" w:rsidRPr="00995A8B" w:rsidRDefault="003C418B" w:rsidP="003C418B">
            <w:pPr>
              <w:rPr>
                <w:rFonts w:cs="Arial"/>
                <w:szCs w:val="20"/>
              </w:rPr>
            </w:pPr>
            <w:r w:rsidRPr="00995A8B">
              <w:rPr>
                <w:rFonts w:cs="Arial"/>
                <w:szCs w:val="20"/>
              </w:rPr>
              <w:t>• Hôpital de jour psychiatrique de 10 places</w:t>
            </w:r>
          </w:p>
          <w:p w14:paraId="7750007F" w14:textId="77777777" w:rsidR="003C418B" w:rsidRPr="00995A8B" w:rsidRDefault="003C418B" w:rsidP="003C418B">
            <w:pPr>
              <w:rPr>
                <w:rFonts w:cs="Arial"/>
                <w:szCs w:val="20"/>
              </w:rPr>
            </w:pPr>
            <w:r w:rsidRPr="00995A8B">
              <w:rPr>
                <w:rFonts w:cs="Arial"/>
                <w:szCs w:val="20"/>
              </w:rPr>
              <w:t>• Centre Médico-Psychologique adultes et enfants</w:t>
            </w:r>
          </w:p>
          <w:p w14:paraId="533011EE" w14:textId="77777777" w:rsidR="003C418B" w:rsidRPr="00995A8B" w:rsidRDefault="003C418B" w:rsidP="003C418B">
            <w:pPr>
              <w:rPr>
                <w:rFonts w:cs="Arial"/>
                <w:szCs w:val="20"/>
              </w:rPr>
            </w:pPr>
            <w:r w:rsidRPr="00995A8B">
              <w:rPr>
                <w:rFonts w:cs="Arial"/>
                <w:szCs w:val="20"/>
              </w:rPr>
              <w:t>• Maison des Adolescents</w:t>
            </w:r>
          </w:p>
          <w:p w14:paraId="762CB2CC" w14:textId="77777777" w:rsidR="003C418B" w:rsidRPr="00995A8B" w:rsidRDefault="003C418B" w:rsidP="003C418B">
            <w:pPr>
              <w:rPr>
                <w:rFonts w:cs="Arial"/>
                <w:szCs w:val="20"/>
              </w:rPr>
            </w:pPr>
            <w:r w:rsidRPr="00995A8B">
              <w:rPr>
                <w:rFonts w:cs="Arial"/>
                <w:szCs w:val="20"/>
              </w:rPr>
              <w:t>• Institut de Formation des Professionnels de Santé</w:t>
            </w:r>
          </w:p>
          <w:p w14:paraId="2BD4260F" w14:textId="77777777" w:rsidR="003C418B" w:rsidRPr="00995A8B" w:rsidRDefault="003C418B" w:rsidP="003C418B">
            <w:pPr>
              <w:rPr>
                <w:rFonts w:cs="Arial"/>
                <w:szCs w:val="20"/>
              </w:rPr>
            </w:pPr>
            <w:r w:rsidRPr="00995A8B">
              <w:rPr>
                <w:rFonts w:cs="Arial"/>
                <w:szCs w:val="20"/>
              </w:rPr>
              <w:t>(IFSI-IFAS-IFMK)</w:t>
            </w:r>
          </w:p>
          <w:p w14:paraId="04C4E14C" w14:textId="77777777" w:rsidR="001B38AA" w:rsidRDefault="001B38AA" w:rsidP="003C418B">
            <w:pPr>
              <w:rPr>
                <w:rFonts w:cs="Arial"/>
                <w:szCs w:val="20"/>
              </w:rPr>
            </w:pPr>
          </w:p>
          <w:p w14:paraId="1003DDE7" w14:textId="77777777" w:rsidR="003C418B" w:rsidRPr="00995A8B" w:rsidRDefault="003C418B" w:rsidP="003C418B">
            <w:pPr>
              <w:rPr>
                <w:rFonts w:cs="Arial"/>
                <w:szCs w:val="20"/>
              </w:rPr>
            </w:pPr>
            <w:r w:rsidRPr="00995A8B">
              <w:rPr>
                <w:rFonts w:cs="Arial"/>
                <w:szCs w:val="20"/>
              </w:rPr>
              <w:t xml:space="preserve">Site du Lanot </w:t>
            </w:r>
          </w:p>
          <w:p w14:paraId="7F64B0B8" w14:textId="77777777" w:rsidR="003C418B" w:rsidRPr="00995A8B" w:rsidRDefault="003C418B" w:rsidP="003C418B">
            <w:pPr>
              <w:rPr>
                <w:rFonts w:cs="Arial"/>
                <w:szCs w:val="20"/>
              </w:rPr>
            </w:pPr>
            <w:r w:rsidRPr="00995A8B">
              <w:rPr>
                <w:rFonts w:cs="Arial"/>
                <w:szCs w:val="20"/>
              </w:rPr>
              <w:t>• 23 places Hospitalisation de Jour Pédopsychiatrie</w:t>
            </w:r>
          </w:p>
          <w:p w14:paraId="54DC7FD3" w14:textId="77777777" w:rsidR="003C418B" w:rsidRPr="00995A8B" w:rsidRDefault="003C418B" w:rsidP="003C418B">
            <w:pPr>
              <w:rPr>
                <w:rFonts w:cs="Arial"/>
                <w:szCs w:val="20"/>
              </w:rPr>
            </w:pPr>
            <w:r w:rsidRPr="00995A8B">
              <w:rPr>
                <w:rFonts w:cs="Arial"/>
                <w:szCs w:val="20"/>
              </w:rPr>
              <w:t>• 6 places d'Hôpital de jour de Psychogériatrie</w:t>
            </w:r>
          </w:p>
          <w:p w14:paraId="49EFB21E" w14:textId="4FD2545B" w:rsidR="003C418B" w:rsidRPr="00995A8B" w:rsidRDefault="003C418B" w:rsidP="003C418B">
            <w:pPr>
              <w:rPr>
                <w:rFonts w:cs="Arial"/>
                <w:szCs w:val="20"/>
              </w:rPr>
            </w:pPr>
            <w:r w:rsidRPr="00995A8B">
              <w:rPr>
                <w:rFonts w:cs="Arial"/>
                <w:szCs w:val="20"/>
              </w:rPr>
              <w:t>• 2 places d'Hôpital de Jour d'Évaluation et de 2</w:t>
            </w:r>
            <w:r w:rsidR="00750016">
              <w:rPr>
                <w:rFonts w:cs="Arial"/>
                <w:szCs w:val="20"/>
              </w:rPr>
              <w:t xml:space="preserve"> </w:t>
            </w:r>
            <w:r w:rsidRPr="00995A8B">
              <w:rPr>
                <w:rFonts w:cs="Arial"/>
                <w:szCs w:val="20"/>
              </w:rPr>
              <w:t>SSR de jour</w:t>
            </w:r>
          </w:p>
          <w:p w14:paraId="52B8DA23" w14:textId="0394BB43" w:rsidR="003C418B" w:rsidRPr="00995A8B" w:rsidRDefault="003C418B" w:rsidP="003C418B">
            <w:pPr>
              <w:rPr>
                <w:rFonts w:cs="Arial"/>
                <w:szCs w:val="20"/>
              </w:rPr>
            </w:pPr>
            <w:r w:rsidRPr="00995A8B">
              <w:rPr>
                <w:rFonts w:cs="Arial"/>
                <w:szCs w:val="20"/>
              </w:rPr>
              <w:t>• 70 lits de Soins de Suite et de Réadaptation, dont</w:t>
            </w:r>
            <w:r w:rsidR="00750016">
              <w:rPr>
                <w:rFonts w:cs="Arial"/>
                <w:szCs w:val="20"/>
              </w:rPr>
              <w:t xml:space="preserve"> </w:t>
            </w:r>
            <w:r w:rsidRPr="00995A8B">
              <w:rPr>
                <w:rFonts w:cs="Arial"/>
                <w:szCs w:val="20"/>
              </w:rPr>
              <w:t>1 Unité Cognitivo Comportementale de 20 lits</w:t>
            </w:r>
          </w:p>
          <w:p w14:paraId="32D595B3" w14:textId="778BC5FD" w:rsidR="003C418B" w:rsidRPr="00995A8B" w:rsidRDefault="003C418B" w:rsidP="003C418B">
            <w:pPr>
              <w:rPr>
                <w:rFonts w:cs="Arial"/>
                <w:szCs w:val="20"/>
              </w:rPr>
            </w:pPr>
            <w:r w:rsidRPr="00995A8B">
              <w:rPr>
                <w:rFonts w:cs="Arial"/>
                <w:szCs w:val="20"/>
              </w:rPr>
              <w:t>• 100 lits de Soins de Longue Durée dont 1 Unité</w:t>
            </w:r>
            <w:r w:rsidR="00750016">
              <w:rPr>
                <w:rFonts w:cs="Arial"/>
                <w:szCs w:val="20"/>
              </w:rPr>
              <w:t xml:space="preserve"> </w:t>
            </w:r>
            <w:r w:rsidRPr="00995A8B">
              <w:rPr>
                <w:rFonts w:cs="Arial"/>
                <w:szCs w:val="20"/>
              </w:rPr>
              <w:t>d'Hébergement Renforcé de 20 lits</w:t>
            </w:r>
          </w:p>
          <w:p w14:paraId="48F97B7E" w14:textId="11DCEBE8" w:rsidR="003C418B" w:rsidRPr="00995A8B" w:rsidRDefault="003C418B" w:rsidP="003C418B">
            <w:pPr>
              <w:rPr>
                <w:rFonts w:cs="Arial"/>
                <w:szCs w:val="20"/>
              </w:rPr>
            </w:pPr>
            <w:r w:rsidRPr="00995A8B">
              <w:rPr>
                <w:rFonts w:cs="Arial"/>
                <w:szCs w:val="20"/>
              </w:rPr>
              <w:t>• 60 lits d'EHPAD le Hameau de Saubagnacq dont 1</w:t>
            </w:r>
            <w:r w:rsidR="00750016">
              <w:rPr>
                <w:rFonts w:cs="Arial"/>
                <w:szCs w:val="20"/>
              </w:rPr>
              <w:t xml:space="preserve"> </w:t>
            </w:r>
            <w:r w:rsidRPr="00995A8B">
              <w:rPr>
                <w:rFonts w:cs="Arial"/>
                <w:szCs w:val="20"/>
              </w:rPr>
              <w:t>PASA et 1 unité Alzheimer de 14 places</w:t>
            </w:r>
          </w:p>
          <w:p w14:paraId="6F3CF6C0" w14:textId="7FB197DB" w:rsidR="003C418B" w:rsidRDefault="003C418B" w:rsidP="003C418B">
            <w:r w:rsidRPr="00995A8B">
              <w:rPr>
                <w:rFonts w:cs="Arial"/>
                <w:szCs w:val="20"/>
              </w:rPr>
              <w:t xml:space="preserve">• 100 lits d'EHPAD au Lanot (70 </w:t>
            </w:r>
            <w:proofErr w:type="gramStart"/>
            <w:r w:rsidRPr="00995A8B">
              <w:rPr>
                <w:rFonts w:cs="Arial"/>
                <w:szCs w:val="20"/>
              </w:rPr>
              <w:t>polypathologie</w:t>
            </w:r>
            <w:proofErr w:type="gramEnd"/>
            <w:r w:rsidRPr="00995A8B">
              <w:rPr>
                <w:rFonts w:cs="Arial"/>
                <w:szCs w:val="20"/>
              </w:rPr>
              <w:t>, 30</w:t>
            </w:r>
            <w:r w:rsidR="00750016">
              <w:rPr>
                <w:rFonts w:cs="Arial"/>
                <w:szCs w:val="20"/>
              </w:rPr>
              <w:t xml:space="preserve"> </w:t>
            </w:r>
            <w:r w:rsidRPr="00995A8B">
              <w:t>psychogériatrie)</w:t>
            </w:r>
          </w:p>
          <w:p w14:paraId="4EF36FB1" w14:textId="77777777" w:rsidR="00750016" w:rsidRDefault="00750016" w:rsidP="003C418B"/>
          <w:p w14:paraId="5B3EB503" w14:textId="300445D5" w:rsidR="00750016" w:rsidRPr="00750016" w:rsidRDefault="00750016" w:rsidP="003C418B">
            <w:pPr>
              <w:rPr>
                <w:rFonts w:cs="Arial"/>
                <w:szCs w:val="20"/>
              </w:rPr>
            </w:pPr>
            <w:r>
              <w:t>Site Centre DAX</w:t>
            </w:r>
          </w:p>
          <w:p w14:paraId="10D328C0" w14:textId="77777777" w:rsidR="003C418B" w:rsidRPr="00995A8B" w:rsidRDefault="003C418B" w:rsidP="003C418B">
            <w:r w:rsidRPr="00995A8B">
              <w:t>-Les Albizzias (Rue Joseph Darqué - Dax)</w:t>
            </w:r>
          </w:p>
          <w:p w14:paraId="0FCF111D" w14:textId="77777777" w:rsidR="003C418B" w:rsidRDefault="003C418B" w:rsidP="003C418B">
            <w:r w:rsidRPr="00995A8B">
              <w:t>95 lits d'EHPAD, 2 places en hébergement temporaire</w:t>
            </w:r>
          </w:p>
          <w:p w14:paraId="73A2E25E" w14:textId="77777777" w:rsidR="00750016" w:rsidRPr="00995A8B" w:rsidRDefault="00750016" w:rsidP="003C418B"/>
          <w:p w14:paraId="15D04454" w14:textId="44EB09CA" w:rsidR="003C418B" w:rsidRPr="00995A8B" w:rsidRDefault="00750016" w:rsidP="003C418B">
            <w:r>
              <w:t xml:space="preserve">Site </w:t>
            </w:r>
            <w:r w:rsidR="003C418B" w:rsidRPr="00995A8B">
              <w:t>Saint Vincent de Tyrosse</w:t>
            </w:r>
          </w:p>
          <w:p w14:paraId="71DA063B" w14:textId="77777777" w:rsidR="003C418B" w:rsidRPr="00995A8B" w:rsidRDefault="003C418B" w:rsidP="003C418B">
            <w:r w:rsidRPr="00995A8B">
              <w:t>• Hôpital de jour psychiatrique de 10 places</w:t>
            </w:r>
          </w:p>
          <w:p w14:paraId="542DFCB8" w14:textId="77777777" w:rsidR="003C418B" w:rsidRDefault="003C418B" w:rsidP="003C418B">
            <w:r w:rsidRPr="00995A8B">
              <w:t>• CATTP</w:t>
            </w:r>
          </w:p>
          <w:p w14:paraId="375DE957" w14:textId="77777777" w:rsidR="00750016" w:rsidRPr="00995A8B" w:rsidRDefault="00750016" w:rsidP="003C418B"/>
          <w:p w14:paraId="0344FF48" w14:textId="28CD7DBB" w:rsidR="003C418B" w:rsidRPr="00995A8B" w:rsidRDefault="003C418B" w:rsidP="003C418B">
            <w:r w:rsidRPr="00995A8B">
              <w:t>Maison d'Accueil Spécialisée l'Arcolan (Magescq)</w:t>
            </w:r>
          </w:p>
          <w:p w14:paraId="090217DE" w14:textId="77777777" w:rsidR="003C418B" w:rsidRDefault="003C418B" w:rsidP="003C418B">
            <w:r w:rsidRPr="00995A8B">
              <w:t>28 places dont 2 d'accueil temporaire</w:t>
            </w:r>
          </w:p>
          <w:p w14:paraId="0AA9B205" w14:textId="77777777" w:rsidR="00750016" w:rsidRPr="00995A8B" w:rsidRDefault="00750016" w:rsidP="003C418B"/>
          <w:p w14:paraId="3A67A37E" w14:textId="77777777" w:rsidR="00750016" w:rsidRDefault="00750016" w:rsidP="003C418B"/>
          <w:p w14:paraId="2645ECAB" w14:textId="77777777" w:rsidR="00750016" w:rsidRDefault="00750016" w:rsidP="003C418B"/>
          <w:p w14:paraId="6A02810D" w14:textId="77777777" w:rsidR="00750016" w:rsidRDefault="00750016" w:rsidP="003C418B"/>
          <w:p w14:paraId="7A06BC8E" w14:textId="77777777" w:rsidR="00750016" w:rsidRDefault="00750016" w:rsidP="003C418B"/>
          <w:p w14:paraId="14983DF8" w14:textId="0C7A6F74" w:rsidR="003C418B" w:rsidRDefault="003C418B" w:rsidP="003C418B">
            <w:r w:rsidRPr="00995A8B">
              <w:t>Centre d'Action Médico-Sociale Précoce des</w:t>
            </w:r>
            <w:r w:rsidR="00750016">
              <w:t xml:space="preserve"> </w:t>
            </w:r>
            <w:r w:rsidRPr="00995A8B">
              <w:t>Landes (Dax - Saint Pierre du Mont et Parentis en Born)</w:t>
            </w:r>
            <w:r w:rsidR="00750016">
              <w:t xml:space="preserve"> </w:t>
            </w:r>
            <w:r w:rsidRPr="00995A8B">
              <w:t>Prévention, dépistage et prise en charge d'enfants de</w:t>
            </w:r>
            <w:r w:rsidR="00750016">
              <w:t xml:space="preserve"> </w:t>
            </w:r>
            <w:r w:rsidRPr="00995A8B">
              <w:t>la naissance à 6 ans</w:t>
            </w:r>
          </w:p>
          <w:p w14:paraId="2EC072B5" w14:textId="77777777" w:rsidR="00750016" w:rsidRPr="00995A8B" w:rsidRDefault="00750016" w:rsidP="003C418B"/>
          <w:p w14:paraId="75B1BB61" w14:textId="4AC4AAFB" w:rsidR="003C418B" w:rsidRPr="00995A8B" w:rsidRDefault="003C418B" w:rsidP="003C418B">
            <w:r w:rsidRPr="00995A8B">
              <w:t>Maison du Cœur et Espace Forme Santé (Place du</w:t>
            </w:r>
            <w:r w:rsidR="00750016">
              <w:t xml:space="preserve"> </w:t>
            </w:r>
            <w:r w:rsidRPr="00995A8B">
              <w:t>Présidial - Dax) qui est un site dédié à l’accueil des personnes manifestant un intérêt à la prévention des maladies cardiovasculaires.</w:t>
            </w:r>
          </w:p>
          <w:p w14:paraId="405B51C2" w14:textId="77777777" w:rsidR="001820E8" w:rsidRDefault="001820E8" w:rsidP="00FC631C"/>
        </w:tc>
      </w:tr>
    </w:tbl>
    <w:p w14:paraId="12A4D811" w14:textId="77777777" w:rsidR="001820E8" w:rsidRDefault="001820E8" w:rsidP="001820E8"/>
    <w:p w14:paraId="40E8BD76" w14:textId="77777777" w:rsidR="00750016" w:rsidRDefault="00750016" w:rsidP="001820E8"/>
    <w:p w14:paraId="490591D3" w14:textId="77777777" w:rsidR="00750016" w:rsidRDefault="00750016" w:rsidP="001820E8"/>
    <w:p w14:paraId="76F69649" w14:textId="77777777" w:rsidR="00750016" w:rsidRDefault="00750016" w:rsidP="00750016">
      <w:pPr>
        <w:pStyle w:val="Paragraphedeliste"/>
      </w:pPr>
      <w:r w:rsidRPr="001820E8">
        <w:t>Profil recherché (compétences recherchées, nature et niveau des expériences professionnelles attendus)</w:t>
      </w:r>
      <w:r>
        <w:t xml:space="preserve"> [2000 caractères maxi]</w:t>
      </w:r>
    </w:p>
    <w:p w14:paraId="6CF060DC" w14:textId="77777777" w:rsidR="00750016" w:rsidRDefault="00750016" w:rsidP="00750016">
      <w:pPr>
        <w:jc w:val="both"/>
      </w:pPr>
    </w:p>
    <w:p w14:paraId="5CC0B8F4" w14:textId="77777777" w:rsidR="00750016" w:rsidRDefault="00750016" w:rsidP="00750016">
      <w:pPr>
        <w:jc w:val="both"/>
      </w:pPr>
      <w:r>
        <w:t xml:space="preserve">Pour les emplois fonctionnels, le paragraphe suivant sera </w:t>
      </w:r>
      <w:r w:rsidRPr="001820E8">
        <w:rPr>
          <w:u w:val="single"/>
        </w:rPr>
        <w:t>obligatoirement</w:t>
      </w:r>
      <w:r>
        <w:t xml:space="preserve"> inséré dans la rubrique :</w:t>
      </w:r>
    </w:p>
    <w:p w14:paraId="68844B2B" w14:textId="77777777" w:rsidR="00750016" w:rsidRDefault="00750016" w:rsidP="00750016">
      <w:pPr>
        <w:jc w:val="both"/>
      </w:pPr>
    </w:p>
    <w:p w14:paraId="3644AB5B" w14:textId="0C678545" w:rsidR="00750016" w:rsidRDefault="00750016" w:rsidP="00750016">
      <w:pPr>
        <w:jc w:val="both"/>
      </w:pPr>
      <w:r>
        <w:t>"L'emploi s'adresse à un cadre de haut niveau fonctionnaire, ou agent contractuel, avec une expérience minimale de six années d'activités professionnelles diversifiées en tant que cadre supérieur sur des fonctions de direction, d'encadrement ou d'expertise et ayant une excellente connaissance des politiques de santé."</w:t>
      </w:r>
    </w:p>
    <w:p w14:paraId="036E89C5" w14:textId="77777777" w:rsidR="00750016" w:rsidRDefault="00750016" w:rsidP="00750016">
      <w:pPr>
        <w:jc w:val="both"/>
      </w:pPr>
    </w:p>
    <w:tbl>
      <w:tblPr>
        <w:tblStyle w:val="Grilledutableau"/>
        <w:tblW w:w="0" w:type="auto"/>
        <w:tblInd w:w="108" w:type="dxa"/>
        <w:tblLook w:val="04A0" w:firstRow="1" w:lastRow="0" w:firstColumn="1" w:lastColumn="0" w:noHBand="0" w:noVBand="1"/>
      </w:tblPr>
      <w:tblGrid>
        <w:gridCol w:w="9104"/>
      </w:tblGrid>
      <w:tr w:rsidR="00750016" w14:paraId="6BBE5A17" w14:textId="77777777" w:rsidTr="00116FB6">
        <w:trPr>
          <w:trHeight w:val="6803"/>
        </w:trPr>
        <w:tc>
          <w:tcPr>
            <w:tcW w:w="9104" w:type="dxa"/>
          </w:tcPr>
          <w:p w14:paraId="42A7F786" w14:textId="77777777" w:rsidR="00750016" w:rsidRDefault="00750016" w:rsidP="00750016">
            <w:pPr>
              <w:tabs>
                <w:tab w:val="left" w:pos="1845"/>
              </w:tabs>
              <w:rPr>
                <w:rFonts w:cs="Arial"/>
                <w:b/>
                <w:color w:val="000000"/>
                <w:szCs w:val="20"/>
                <w:u w:val="single"/>
              </w:rPr>
            </w:pPr>
          </w:p>
          <w:p w14:paraId="40CFA8EB" w14:textId="77777777" w:rsidR="00750016" w:rsidRPr="00445B91" w:rsidRDefault="00750016" w:rsidP="00750016">
            <w:pPr>
              <w:tabs>
                <w:tab w:val="left" w:pos="1845"/>
              </w:tabs>
              <w:rPr>
                <w:rFonts w:cs="Arial"/>
                <w:b/>
                <w:color w:val="000000"/>
                <w:szCs w:val="20"/>
                <w:u w:val="single"/>
              </w:rPr>
            </w:pPr>
            <w:r w:rsidRPr="00445B91">
              <w:rPr>
                <w:rFonts w:cs="Arial"/>
                <w:b/>
                <w:color w:val="000000"/>
                <w:szCs w:val="20"/>
                <w:u w:val="single"/>
              </w:rPr>
              <w:t>Connaissances particulières requises / prévues</w:t>
            </w:r>
            <w:r w:rsidRPr="00445B91">
              <w:rPr>
                <w:rFonts w:cs="Arial"/>
                <w:b/>
                <w:color w:val="000000"/>
                <w:szCs w:val="20"/>
              </w:rPr>
              <w:t xml:space="preserve"> : </w:t>
            </w:r>
            <w:r w:rsidRPr="00445B91">
              <w:rPr>
                <w:rFonts w:cs="Arial"/>
                <w:color w:val="000000"/>
                <w:szCs w:val="20"/>
              </w:rPr>
              <w:t>(en lien avec les spécificités du poste)</w:t>
            </w:r>
          </w:p>
          <w:p w14:paraId="79902605" w14:textId="77777777" w:rsidR="00750016" w:rsidRPr="000E2784" w:rsidRDefault="00750016" w:rsidP="00750016">
            <w:pPr>
              <w:tabs>
                <w:tab w:val="left" w:pos="1845"/>
              </w:tabs>
              <w:jc w:val="both"/>
              <w:rPr>
                <w:rFonts w:cs="Arial"/>
                <w:color w:val="000000" w:themeColor="text1"/>
                <w:szCs w:val="20"/>
              </w:rPr>
            </w:pPr>
          </w:p>
          <w:p w14:paraId="2A0F882D" w14:textId="77777777" w:rsidR="00750016" w:rsidRDefault="00750016" w:rsidP="00750016">
            <w:pPr>
              <w:tabs>
                <w:tab w:val="left" w:pos="1845"/>
              </w:tabs>
              <w:jc w:val="both"/>
              <w:rPr>
                <w:rFonts w:cs="Arial"/>
                <w:color w:val="000000" w:themeColor="text1"/>
                <w:szCs w:val="20"/>
              </w:rPr>
            </w:pPr>
          </w:p>
          <w:p w14:paraId="30E7F1A7" w14:textId="77777777" w:rsidR="00750016" w:rsidRDefault="00750016" w:rsidP="00750016">
            <w:pPr>
              <w:tabs>
                <w:tab w:val="left" w:pos="1845"/>
              </w:tabs>
              <w:jc w:val="both"/>
              <w:rPr>
                <w:rFonts w:cs="Arial"/>
                <w:color w:val="000000" w:themeColor="text1"/>
                <w:szCs w:val="20"/>
              </w:rPr>
            </w:pPr>
            <w:r w:rsidRPr="00C509B9">
              <w:rPr>
                <w:rFonts w:cs="Arial"/>
                <w:color w:val="000000" w:themeColor="text1"/>
                <w:szCs w:val="20"/>
                <w:u w:val="single"/>
              </w:rPr>
              <w:t>Expérience professionnelle appréciée</w:t>
            </w:r>
            <w:r>
              <w:rPr>
                <w:rFonts w:cs="Arial"/>
                <w:color w:val="000000" w:themeColor="text1"/>
                <w:szCs w:val="20"/>
              </w:rPr>
              <w:t xml:space="preserve"> : </w:t>
            </w:r>
          </w:p>
          <w:p w14:paraId="4D2E5C33"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-dans la gestion d’un centre hospitalier et notamment la chefferie d’établissement</w:t>
            </w:r>
          </w:p>
          <w:p w14:paraId="0693E3C7"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-en matière de coopération inter-hospitalière et avec les établissements sociaux et médico-sociaux</w:t>
            </w:r>
          </w:p>
          <w:p w14:paraId="7295F533" w14:textId="77777777" w:rsidR="00750016" w:rsidRDefault="00750016" w:rsidP="00750016">
            <w:pPr>
              <w:tabs>
                <w:tab w:val="left" w:pos="1845"/>
              </w:tabs>
              <w:jc w:val="both"/>
              <w:rPr>
                <w:rFonts w:cs="Arial"/>
                <w:color w:val="000000" w:themeColor="text1"/>
                <w:szCs w:val="20"/>
              </w:rPr>
            </w:pPr>
          </w:p>
          <w:p w14:paraId="7DEC904C" w14:textId="77777777" w:rsidR="00750016" w:rsidRDefault="00750016" w:rsidP="00750016">
            <w:pPr>
              <w:tabs>
                <w:tab w:val="left" w:pos="1845"/>
              </w:tabs>
              <w:jc w:val="both"/>
              <w:rPr>
                <w:rFonts w:cs="Arial"/>
                <w:color w:val="000000" w:themeColor="text1"/>
                <w:szCs w:val="20"/>
              </w:rPr>
            </w:pPr>
            <w:r w:rsidRPr="00C509B9">
              <w:rPr>
                <w:rFonts w:cs="Arial"/>
                <w:color w:val="000000" w:themeColor="text1"/>
                <w:szCs w:val="20"/>
                <w:u w:val="single"/>
              </w:rPr>
              <w:t>Connaissances particulières requises</w:t>
            </w:r>
            <w:r>
              <w:rPr>
                <w:rFonts w:cs="Arial"/>
                <w:color w:val="000000" w:themeColor="text1"/>
                <w:szCs w:val="20"/>
              </w:rPr>
              <w:t xml:space="preserve"> : </w:t>
            </w:r>
          </w:p>
          <w:p w14:paraId="7768ADAA"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-capacité de travail en équipe de direction</w:t>
            </w:r>
          </w:p>
          <w:p w14:paraId="05DB4EEB"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-aptitude à mener des projets</w:t>
            </w:r>
          </w:p>
          <w:p w14:paraId="496F4019"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-capacité à impulser une dynamique de changement</w:t>
            </w:r>
          </w:p>
          <w:p w14:paraId="4BFAD7CC"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-capacité d’analyse de l’environnement de l’établissement</w:t>
            </w:r>
          </w:p>
          <w:p w14:paraId="71358958" w14:textId="77777777" w:rsidR="00750016" w:rsidRDefault="00750016" w:rsidP="00750016">
            <w:pPr>
              <w:tabs>
                <w:tab w:val="left" w:pos="1845"/>
              </w:tabs>
              <w:jc w:val="both"/>
              <w:rPr>
                <w:rFonts w:cs="Arial"/>
                <w:color w:val="000000" w:themeColor="text1"/>
                <w:szCs w:val="20"/>
              </w:rPr>
            </w:pPr>
          </w:p>
          <w:p w14:paraId="2DE2E5D0" w14:textId="77777777" w:rsidR="00750016" w:rsidRDefault="00750016" w:rsidP="00750016">
            <w:pPr>
              <w:tabs>
                <w:tab w:val="left" w:pos="1845"/>
              </w:tabs>
              <w:jc w:val="both"/>
              <w:rPr>
                <w:rFonts w:cs="Arial"/>
                <w:color w:val="000000" w:themeColor="text1"/>
                <w:szCs w:val="20"/>
              </w:rPr>
            </w:pPr>
            <w:r w:rsidRPr="00594595">
              <w:rPr>
                <w:rFonts w:cs="Arial"/>
                <w:color w:val="000000" w:themeColor="text1"/>
                <w:szCs w:val="20"/>
                <w:u w:val="single"/>
              </w:rPr>
              <w:t>Compét</w:t>
            </w:r>
            <w:r>
              <w:rPr>
                <w:rFonts w:cs="Arial"/>
                <w:color w:val="000000" w:themeColor="text1"/>
                <w:szCs w:val="20"/>
                <w:u w:val="single"/>
              </w:rPr>
              <w:t>e</w:t>
            </w:r>
            <w:r w:rsidRPr="00594595">
              <w:rPr>
                <w:rFonts w:cs="Arial"/>
                <w:color w:val="000000" w:themeColor="text1"/>
                <w:szCs w:val="20"/>
                <w:u w:val="single"/>
              </w:rPr>
              <w:t>nces professionnelles requises</w:t>
            </w:r>
            <w:r>
              <w:rPr>
                <w:rFonts w:cs="Arial"/>
                <w:color w:val="000000" w:themeColor="text1"/>
                <w:szCs w:val="20"/>
              </w:rPr>
              <w:t xml:space="preserve"> : </w:t>
            </w:r>
          </w:p>
          <w:p w14:paraId="74972551"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-management d’équipes pluriprofessionnelles</w:t>
            </w:r>
          </w:p>
          <w:p w14:paraId="657F7C93"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-gestion du corps médical</w:t>
            </w:r>
          </w:p>
          <w:p w14:paraId="66DAFFD2"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-compétences financière et de gestion</w:t>
            </w:r>
          </w:p>
          <w:p w14:paraId="7A95151F"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-capacité à la prise de décision</w:t>
            </w:r>
          </w:p>
          <w:p w14:paraId="44582D70" w14:textId="77777777" w:rsidR="00750016" w:rsidRDefault="00750016" w:rsidP="00750016">
            <w:pPr>
              <w:tabs>
                <w:tab w:val="left" w:pos="1845"/>
              </w:tabs>
              <w:jc w:val="both"/>
              <w:rPr>
                <w:rFonts w:cs="Arial"/>
                <w:color w:val="000000" w:themeColor="text1"/>
                <w:szCs w:val="20"/>
              </w:rPr>
            </w:pPr>
            <w:r>
              <w:rPr>
                <w:rFonts w:cs="Arial"/>
                <w:color w:val="000000" w:themeColor="text1"/>
                <w:szCs w:val="20"/>
              </w:rPr>
              <w:t>-aptitudes relationnelles</w:t>
            </w:r>
          </w:p>
          <w:p w14:paraId="05D4002D" w14:textId="77777777" w:rsidR="00750016" w:rsidRPr="00445B91" w:rsidRDefault="00750016" w:rsidP="00750016">
            <w:pPr>
              <w:tabs>
                <w:tab w:val="left" w:pos="1845"/>
              </w:tabs>
              <w:jc w:val="both"/>
              <w:rPr>
                <w:rFonts w:cs="Arial"/>
                <w:color w:val="000000"/>
                <w:szCs w:val="20"/>
              </w:rPr>
            </w:pPr>
            <w:r>
              <w:rPr>
                <w:rFonts w:cs="Arial"/>
                <w:color w:val="000000" w:themeColor="text1"/>
                <w:szCs w:val="20"/>
              </w:rPr>
              <w:t>-capacité de réorganisation</w:t>
            </w:r>
          </w:p>
          <w:p w14:paraId="311773B3" w14:textId="77777777" w:rsidR="00750016" w:rsidRDefault="00750016" w:rsidP="00750016">
            <w:pPr>
              <w:tabs>
                <w:tab w:val="left" w:pos="1845"/>
              </w:tabs>
              <w:jc w:val="both"/>
            </w:pPr>
          </w:p>
        </w:tc>
      </w:tr>
    </w:tbl>
    <w:p w14:paraId="5AC5BAD5" w14:textId="77777777" w:rsidR="00750016" w:rsidRDefault="00750016"/>
    <w:p w14:paraId="35536C49" w14:textId="6E9D6261" w:rsidR="001820E8" w:rsidRDefault="001820E8"/>
    <w:sectPr w:rsidR="001820E8" w:rsidSect="009F04EE">
      <w:footerReference w:type="default" r:id="rId7"/>
      <w:pgSz w:w="11906" w:h="16838" w:code="9"/>
      <w:pgMar w:top="567" w:right="1416"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BF8E8" w14:textId="77777777" w:rsidR="00EA280D" w:rsidRDefault="00EA280D" w:rsidP="0057722E">
      <w:r>
        <w:separator/>
      </w:r>
    </w:p>
  </w:endnote>
  <w:endnote w:type="continuationSeparator" w:id="0">
    <w:p w14:paraId="2DA28FC3" w14:textId="77777777" w:rsidR="00EA280D" w:rsidRDefault="00EA280D" w:rsidP="00577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9606008"/>
      <w:docPartObj>
        <w:docPartGallery w:val="Page Numbers (Bottom of Page)"/>
        <w:docPartUnique/>
      </w:docPartObj>
    </w:sdtPr>
    <w:sdtEndPr>
      <w:rPr>
        <w:sz w:val="16"/>
        <w:szCs w:val="16"/>
      </w:rPr>
    </w:sdtEndPr>
    <w:sdtContent>
      <w:p w14:paraId="3F8A8A51" w14:textId="77777777" w:rsidR="0057722E" w:rsidRPr="0057722E" w:rsidRDefault="0057722E">
        <w:pPr>
          <w:pStyle w:val="Pieddepage"/>
          <w:jc w:val="right"/>
          <w:rPr>
            <w:sz w:val="16"/>
            <w:szCs w:val="16"/>
          </w:rPr>
        </w:pPr>
        <w:r w:rsidRPr="0057722E">
          <w:rPr>
            <w:sz w:val="16"/>
            <w:szCs w:val="16"/>
          </w:rPr>
          <w:fldChar w:fldCharType="begin"/>
        </w:r>
        <w:r w:rsidRPr="0057722E">
          <w:rPr>
            <w:sz w:val="16"/>
            <w:szCs w:val="16"/>
          </w:rPr>
          <w:instrText>PAGE   \* MERGEFORMAT</w:instrText>
        </w:r>
        <w:r w:rsidRPr="0057722E">
          <w:rPr>
            <w:sz w:val="16"/>
            <w:szCs w:val="16"/>
          </w:rPr>
          <w:fldChar w:fldCharType="separate"/>
        </w:r>
        <w:r w:rsidR="001B38AA">
          <w:rPr>
            <w:noProof/>
            <w:sz w:val="16"/>
            <w:szCs w:val="16"/>
          </w:rPr>
          <w:t>2</w:t>
        </w:r>
        <w:r w:rsidRPr="0057722E">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24B02" w14:textId="77777777" w:rsidR="00EA280D" w:rsidRDefault="00EA280D" w:rsidP="0057722E">
      <w:r>
        <w:separator/>
      </w:r>
    </w:p>
  </w:footnote>
  <w:footnote w:type="continuationSeparator" w:id="0">
    <w:p w14:paraId="628715EB" w14:textId="77777777" w:rsidR="00EA280D" w:rsidRDefault="00EA280D" w:rsidP="005772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133F2"/>
    <w:multiLevelType w:val="hybridMultilevel"/>
    <w:tmpl w:val="8280CF94"/>
    <w:lvl w:ilvl="0" w:tplc="961882FC">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096DF9"/>
    <w:multiLevelType w:val="hybridMultilevel"/>
    <w:tmpl w:val="02F2465E"/>
    <w:lvl w:ilvl="0" w:tplc="075A60E6">
      <w:start w:val="1"/>
      <w:numFmt w:val="upperRoman"/>
      <w:pStyle w:val="Paragraphedeliste"/>
      <w:lvlText w:val="%1."/>
      <w:lvlJc w:val="left"/>
      <w:pPr>
        <w:ind w:left="1080" w:hanging="720"/>
      </w:pPr>
      <w:rPr>
        <w:rFonts w:ascii="Arial" w:hAnsi="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28672490">
    <w:abstractNumId w:val="1"/>
  </w:num>
  <w:num w:numId="2" w16cid:durableId="936326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04EE"/>
    <w:rsid w:val="000E2784"/>
    <w:rsid w:val="001820E8"/>
    <w:rsid w:val="001B38AA"/>
    <w:rsid w:val="002406DF"/>
    <w:rsid w:val="002504EC"/>
    <w:rsid w:val="002C2FE2"/>
    <w:rsid w:val="002C708B"/>
    <w:rsid w:val="002E504C"/>
    <w:rsid w:val="00351BAA"/>
    <w:rsid w:val="003627E8"/>
    <w:rsid w:val="003C418B"/>
    <w:rsid w:val="00445B91"/>
    <w:rsid w:val="00556973"/>
    <w:rsid w:val="0057722E"/>
    <w:rsid w:val="005910EE"/>
    <w:rsid w:val="00594595"/>
    <w:rsid w:val="005C565C"/>
    <w:rsid w:val="006851F7"/>
    <w:rsid w:val="00750016"/>
    <w:rsid w:val="007E15C4"/>
    <w:rsid w:val="00863090"/>
    <w:rsid w:val="008649B5"/>
    <w:rsid w:val="009016D0"/>
    <w:rsid w:val="00922645"/>
    <w:rsid w:val="0092432A"/>
    <w:rsid w:val="00977A88"/>
    <w:rsid w:val="00995A8B"/>
    <w:rsid w:val="009F04EE"/>
    <w:rsid w:val="00A82CC1"/>
    <w:rsid w:val="00C509B9"/>
    <w:rsid w:val="00CC5030"/>
    <w:rsid w:val="00D548FD"/>
    <w:rsid w:val="00E24081"/>
    <w:rsid w:val="00E41DCE"/>
    <w:rsid w:val="00E64230"/>
    <w:rsid w:val="00EA280D"/>
    <w:rsid w:val="00FA53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DB3DF"/>
  <w15:docId w15:val="{196C2C54-6A5B-42A3-AAD8-B8E7CFD1A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030"/>
    <w:rPr>
      <w:rFonts w:cs="Times New Roman"/>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autoRedefine/>
    <w:uiPriority w:val="34"/>
    <w:qFormat/>
    <w:rsid w:val="001820E8"/>
    <w:pPr>
      <w:numPr>
        <w:numId w:val="1"/>
      </w:numPr>
      <w:contextualSpacing/>
      <w:jc w:val="both"/>
    </w:pPr>
  </w:style>
  <w:style w:type="paragraph" w:styleId="Corpsdetexte">
    <w:name w:val="Body Text"/>
    <w:basedOn w:val="Normal"/>
    <w:next w:val="Normal"/>
    <w:link w:val="CorpsdetexteCar"/>
    <w:autoRedefine/>
    <w:rsid w:val="00E64230"/>
    <w:rPr>
      <w:bCs/>
      <w:color w:val="000000"/>
      <w:szCs w:val="16"/>
    </w:rPr>
  </w:style>
  <w:style w:type="character" w:customStyle="1" w:styleId="CorpsdetexteCar">
    <w:name w:val="Corps de texte Car"/>
    <w:basedOn w:val="Policepardfaut"/>
    <w:link w:val="Corpsdetexte"/>
    <w:rsid w:val="00E64230"/>
    <w:rPr>
      <w:rFonts w:cs="Times New Roman"/>
      <w:bCs/>
      <w:color w:val="000000"/>
      <w:szCs w:val="16"/>
      <w:lang w:eastAsia="fr-FR"/>
    </w:rPr>
  </w:style>
  <w:style w:type="table" w:styleId="Grilledutableau">
    <w:name w:val="Table Grid"/>
    <w:basedOn w:val="TableauNormal"/>
    <w:uiPriority w:val="59"/>
    <w:rsid w:val="00182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7722E"/>
    <w:pPr>
      <w:tabs>
        <w:tab w:val="center" w:pos="4536"/>
        <w:tab w:val="right" w:pos="9072"/>
      </w:tabs>
    </w:pPr>
  </w:style>
  <w:style w:type="character" w:customStyle="1" w:styleId="En-tteCar">
    <w:name w:val="En-tête Car"/>
    <w:basedOn w:val="Policepardfaut"/>
    <w:link w:val="En-tte"/>
    <w:uiPriority w:val="99"/>
    <w:rsid w:val="0057722E"/>
    <w:rPr>
      <w:rFonts w:cs="Times New Roman"/>
      <w:szCs w:val="24"/>
      <w:lang w:eastAsia="fr-FR"/>
    </w:rPr>
  </w:style>
  <w:style w:type="paragraph" w:styleId="Pieddepage">
    <w:name w:val="footer"/>
    <w:basedOn w:val="Normal"/>
    <w:link w:val="PieddepageCar"/>
    <w:uiPriority w:val="99"/>
    <w:unhideWhenUsed/>
    <w:rsid w:val="0057722E"/>
    <w:pPr>
      <w:tabs>
        <w:tab w:val="center" w:pos="4536"/>
        <w:tab w:val="right" w:pos="9072"/>
      </w:tabs>
    </w:pPr>
  </w:style>
  <w:style w:type="character" w:customStyle="1" w:styleId="PieddepageCar">
    <w:name w:val="Pied de page Car"/>
    <w:basedOn w:val="Policepardfaut"/>
    <w:link w:val="Pieddepage"/>
    <w:uiPriority w:val="99"/>
    <w:rsid w:val="0057722E"/>
    <w:rPr>
      <w:rFonts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913</TotalTime>
  <Pages>3</Pages>
  <Words>1050</Words>
  <Characters>5775</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 la Santé</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dc:creator>
  <cp:lastModifiedBy>VERON, Bruno (ARS-NA/DD40)</cp:lastModifiedBy>
  <cp:revision>12</cp:revision>
  <dcterms:created xsi:type="dcterms:W3CDTF">2021-01-22T13:45:00Z</dcterms:created>
  <dcterms:modified xsi:type="dcterms:W3CDTF">2024-12-04T15:39:00Z</dcterms:modified>
</cp:coreProperties>
</file>