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C99" w14:textId="77777777" w:rsidR="001267E0" w:rsidRPr="004F538B" w:rsidRDefault="001267E0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7BA4FD93" w14:textId="77777777" w:rsidR="004F538B" w:rsidRDefault="004F538B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03A0E1FF" w14:textId="77777777" w:rsidR="005970F4" w:rsidRDefault="009D6E50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CONCOURS IN</w:t>
      </w:r>
      <w:r w:rsidR="002D7212" w:rsidRPr="002D7212">
        <w:rPr>
          <w:rFonts w:ascii="Arial" w:hAnsi="Arial" w:cs="Arial"/>
          <w:b/>
          <w:sz w:val="24"/>
          <w:szCs w:val="20"/>
        </w:rPr>
        <w:t>TERNE DE DIRECTEUR</w:t>
      </w:r>
      <w:r w:rsidR="000C3C94">
        <w:rPr>
          <w:rFonts w:ascii="Arial" w:hAnsi="Arial" w:cs="Arial"/>
          <w:b/>
          <w:sz w:val="24"/>
          <w:szCs w:val="20"/>
        </w:rPr>
        <w:t xml:space="preserve"> D’HÔPITAL</w:t>
      </w:r>
    </w:p>
    <w:p w14:paraId="4E0AB533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</w:p>
    <w:p w14:paraId="0BD63CE6" w14:textId="77777777" w:rsidR="002D7212" w:rsidRPr="00A75196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31849B" w:themeColor="accent5" w:themeShade="BF"/>
          <w:sz w:val="24"/>
          <w:szCs w:val="20"/>
        </w:rPr>
      </w:pPr>
      <w:r w:rsidRPr="00A75196">
        <w:rPr>
          <w:rFonts w:ascii="Arial" w:hAnsi="Arial" w:cs="Arial"/>
          <w:b/>
          <w:color w:val="31849B" w:themeColor="accent5" w:themeShade="BF"/>
          <w:sz w:val="24"/>
          <w:szCs w:val="20"/>
        </w:rPr>
        <w:t>Postes ouverts</w:t>
      </w:r>
    </w:p>
    <w:p w14:paraId="34EAEF17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FF0000"/>
          <w:sz w:val="24"/>
          <w:szCs w:val="20"/>
        </w:rPr>
      </w:pPr>
    </w:p>
    <w:p w14:paraId="33E30D4A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  <w:r w:rsidRPr="002D7212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Calendrier indicatif des épreuves </w:t>
      </w:r>
    </w:p>
    <w:p w14:paraId="288191BF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D7212" w:rsidRPr="000B2153" w14:paraId="5D64D354" w14:textId="77777777" w:rsidTr="00984DFA">
        <w:trPr>
          <w:trHeight w:val="448"/>
        </w:trPr>
        <w:tc>
          <w:tcPr>
            <w:tcW w:w="4531" w:type="dxa"/>
          </w:tcPr>
          <w:p w14:paraId="0DC11944" w14:textId="77777777" w:rsidR="002D7212" w:rsidRPr="000B2153" w:rsidRDefault="002D7212" w:rsidP="002D7212">
            <w:pPr>
              <w:spacing w:line="280" w:lineRule="exact"/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</w:pPr>
            <w:bookmarkStart w:id="0" w:name="_Hlk220078829"/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>Webinaire de présentation</w:t>
            </w:r>
          </w:p>
        </w:tc>
        <w:tc>
          <w:tcPr>
            <w:tcW w:w="5387" w:type="dxa"/>
          </w:tcPr>
          <w:p w14:paraId="43F3071E" w14:textId="45AD3DB9" w:rsidR="002D7212" w:rsidRPr="000B2153" w:rsidRDefault="000D03CA" w:rsidP="000D03CA">
            <w:pPr>
              <w:spacing w:line="280" w:lineRule="exac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="001A24A8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EN ATTENTE</w:t>
            </w:r>
          </w:p>
        </w:tc>
      </w:tr>
      <w:tr w:rsidR="002D7212" w:rsidRPr="000B2153" w14:paraId="398FB9E3" w14:textId="77777777" w:rsidTr="00984DFA">
        <w:trPr>
          <w:trHeight w:val="567"/>
        </w:trPr>
        <w:tc>
          <w:tcPr>
            <w:tcW w:w="4531" w:type="dxa"/>
          </w:tcPr>
          <w:p w14:paraId="000C17A9" w14:textId="77777777" w:rsidR="002D7212" w:rsidRPr="000B2153" w:rsidRDefault="002D7212" w:rsidP="007041D7">
            <w:pPr>
              <w:spacing w:line="280" w:lineRule="exact"/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Inscriptions en ligne</w:t>
            </w:r>
          </w:p>
        </w:tc>
        <w:tc>
          <w:tcPr>
            <w:tcW w:w="5387" w:type="dxa"/>
          </w:tcPr>
          <w:p w14:paraId="6AF44F36" w14:textId="442CB5A8" w:rsidR="00984DFA" w:rsidRPr="000B2153" w:rsidRDefault="00984DFA" w:rsidP="002D7212">
            <w:pPr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Du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mercredi 28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janvier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au 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vendredi 20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février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2D7212" w:rsidRPr="000B2153" w14:paraId="3FDBD517" w14:textId="77777777" w:rsidTr="00984DFA">
        <w:tc>
          <w:tcPr>
            <w:tcW w:w="4531" w:type="dxa"/>
          </w:tcPr>
          <w:p w14:paraId="59DB16E6" w14:textId="77777777" w:rsidR="002D7212" w:rsidRPr="000B2153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d’admissibilité</w:t>
            </w:r>
          </w:p>
          <w:p w14:paraId="450A62CD" w14:textId="77777777" w:rsidR="002D7212" w:rsidRPr="000B2153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Centres d’épreuves : </w:t>
            </w:r>
          </w:p>
          <w:p w14:paraId="3A7D25DE" w14:textId="3EB00CE1" w:rsidR="002D7212" w:rsidRPr="000B2153" w:rsidRDefault="002D7212" w:rsidP="000D03C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Paris-Rungis, Lyon, Marseille, Toulouse, Rennes, </w:t>
            </w:r>
            <w:r w:rsidR="00EE1818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Guadeloupe</w:t>
            </w: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, La Réunion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(S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  <w:vertAlign w:val="superscript"/>
              </w:rPr>
              <w:t>t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Denis)</w:t>
            </w: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ab/>
            </w:r>
          </w:p>
        </w:tc>
        <w:tc>
          <w:tcPr>
            <w:tcW w:w="5387" w:type="dxa"/>
          </w:tcPr>
          <w:p w14:paraId="6E2295DB" w14:textId="20FE26FA" w:rsidR="00984DFA" w:rsidRPr="000B2153" w:rsidRDefault="00984DFA" w:rsidP="007041D7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D</w:t>
            </w:r>
            <w:r w:rsidR="007041D7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u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0D03CA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mardi 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9</w:t>
            </w:r>
            <w:r w:rsidR="000D03CA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juin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  <w:r w:rsidR="000D03CA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au vendredi 1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="000D03CA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juin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2D7212" w:rsidRPr="000B2153" w14:paraId="05F6DEB9" w14:textId="77777777" w:rsidTr="00984DFA">
        <w:tc>
          <w:tcPr>
            <w:tcW w:w="4531" w:type="dxa"/>
          </w:tcPr>
          <w:p w14:paraId="6F8AA7CC" w14:textId="77777777" w:rsidR="002D7212" w:rsidRDefault="00A75196" w:rsidP="007041D7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orales d’admission</w:t>
            </w:r>
          </w:p>
          <w:p w14:paraId="35543226" w14:textId="77777777" w:rsidR="000B2153" w:rsidRPr="000B2153" w:rsidRDefault="000B2153" w:rsidP="007041D7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7A14AB27" w14:textId="54B0F00D" w:rsidR="000B2153" w:rsidRPr="000B2153" w:rsidRDefault="000D03CA" w:rsidP="000B2153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Octobre – novembre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2D7212" w:rsidRPr="000B2153" w14:paraId="61C51401" w14:textId="77777777" w:rsidTr="00984DFA">
        <w:tc>
          <w:tcPr>
            <w:tcW w:w="4531" w:type="dxa"/>
          </w:tcPr>
          <w:p w14:paraId="6ACB13E1" w14:textId="77777777" w:rsidR="002D7212" w:rsidRDefault="00A75196" w:rsidP="000B2153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Prise de fonction prévue</w:t>
            </w:r>
          </w:p>
          <w:p w14:paraId="0BC6932E" w14:textId="77777777" w:rsidR="000B2153" w:rsidRPr="000B2153" w:rsidRDefault="000B2153" w:rsidP="000B2153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5C0909AD" w14:textId="55FD42E9" w:rsidR="00A75196" w:rsidRPr="000B2153" w:rsidRDefault="00A75196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À partir du 1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  <w:vertAlign w:val="superscript"/>
              </w:rPr>
              <w:t>er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janvier 202</w:t>
            </w:r>
            <w:r w:rsidR="001A24A8">
              <w:rPr>
                <w:rFonts w:ascii="Arial" w:hAnsi="Arial" w:cs="Arial"/>
                <w:color w:val="000000" w:themeColor="text1"/>
                <w:sz w:val="18"/>
                <w:szCs w:val="20"/>
              </w:rPr>
              <w:t>7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à l’EHESP</w:t>
            </w:r>
          </w:p>
        </w:tc>
      </w:tr>
      <w:bookmarkEnd w:id="0"/>
    </w:tbl>
    <w:p w14:paraId="609D4241" w14:textId="77777777" w:rsidR="002D7212" w:rsidRDefault="002D7212" w:rsidP="002D7212">
      <w:pPr>
        <w:spacing w:after="0" w:line="280" w:lineRule="exact"/>
        <w:rPr>
          <w:rFonts w:ascii="Arial" w:hAnsi="Arial" w:cs="Arial"/>
          <w:b/>
          <w:i/>
          <w:color w:val="404040" w:themeColor="text1" w:themeTint="BF"/>
          <w:sz w:val="24"/>
          <w:szCs w:val="20"/>
        </w:rPr>
      </w:pPr>
    </w:p>
    <w:p w14:paraId="0C0393EE" w14:textId="77777777" w:rsidR="00A75196" w:rsidRPr="00995FE5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5FE5"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Condition générales pour concourir</w:t>
      </w:r>
    </w:p>
    <w:p w14:paraId="004EBC8D" w14:textId="77777777" w:rsidR="00A75196" w:rsidRPr="00A75196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6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A40B57" w14:textId="34B43DEE" w:rsidR="0099410E" w:rsidRPr="007041D7" w:rsidRDefault="009D6E50" w:rsidP="0099410E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D6E50">
        <w:rPr>
          <w:rFonts w:ascii="Arial" w:hAnsi="Arial" w:cs="Arial"/>
          <w:color w:val="404040" w:themeColor="text1" w:themeTint="BF"/>
          <w:sz w:val="20"/>
          <w:szCs w:val="20"/>
        </w:rPr>
        <w:t xml:space="preserve">Le concours interne est ouvert aux fonctionnaires et agents publics des trois fonctions publiques (État, hospitalière et territoriale) et de leurs établissements publics administratifs, aux militaires et magistrats qui, à la date de clôture des inscriptions, sont en position d'activité, de détachement ou de congé parental, ainsi qu'aux agents en fonction dans une organisation internationale intergouvernementale. À la date de clôture des inscriptions, les candidats doivent justifier </w:t>
      </w:r>
      <w:r w:rsidRPr="001A24A8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au </w:t>
      </w:r>
      <w:r w:rsidR="001A24A8" w:rsidRPr="001A24A8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1</w:t>
      </w:r>
      <w:r w:rsidR="001A24A8" w:rsidRPr="001A24A8">
        <w:rPr>
          <w:rFonts w:ascii="Arial" w:hAnsi="Arial" w:cs="Arial"/>
          <w:b/>
          <w:bCs/>
          <w:color w:val="404040" w:themeColor="text1" w:themeTint="BF"/>
          <w:sz w:val="20"/>
          <w:szCs w:val="20"/>
          <w:vertAlign w:val="superscript"/>
        </w:rPr>
        <w:t>er</w:t>
      </w:r>
      <w:r w:rsidR="001A24A8" w:rsidRPr="001A24A8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janvier</w:t>
      </w:r>
      <w:r w:rsidRPr="009D6E50">
        <w:rPr>
          <w:rFonts w:ascii="Arial" w:hAnsi="Arial" w:cs="Arial"/>
          <w:color w:val="404040" w:themeColor="text1" w:themeTint="BF"/>
          <w:sz w:val="20"/>
          <w:szCs w:val="20"/>
        </w:rPr>
        <w:t xml:space="preserve"> de l’année du concours de </w:t>
      </w:r>
      <w:r w:rsidRPr="009D6E50">
        <w:rPr>
          <w:rFonts w:ascii="Arial" w:hAnsi="Arial" w:cs="Arial"/>
          <w:b/>
          <w:color w:val="404040" w:themeColor="text1" w:themeTint="BF"/>
          <w:sz w:val="20"/>
          <w:szCs w:val="20"/>
        </w:rPr>
        <w:t>quatre ans au moins de services publics effectifs</w:t>
      </w:r>
      <w:r w:rsidRPr="009D6E50">
        <w:rPr>
          <w:rFonts w:ascii="Arial" w:hAnsi="Arial" w:cs="Arial"/>
          <w:color w:val="404040" w:themeColor="text1" w:themeTint="BF"/>
          <w:sz w:val="20"/>
          <w:szCs w:val="20"/>
        </w:rPr>
        <w:t>. Pour déterminer cette durée, ne sont pas prises en considération les périodes de stage ou de formation dans une école ou un établissement ouvrant accès à un corps ou cadre d’emplois de la fonction publique.</w:t>
      </w:r>
    </w:p>
    <w:p w14:paraId="1B540990" w14:textId="77777777" w:rsidR="00A75196" w:rsidRPr="00995FE5" w:rsidRDefault="00A75196" w:rsidP="00995FE5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</w:p>
    <w:p w14:paraId="01FF8BF8" w14:textId="77777777" w:rsidR="007041D7" w:rsidRDefault="007041D7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Jouir de ses droits civiques et présenter un bulletin n°2 du casier judiciaire ou équivalent pour les candidats étrangers ne comportant pas de mention incompatible avec l’exercice des fonctions postulées ;</w:t>
      </w:r>
    </w:p>
    <w:p w14:paraId="43A9547A" w14:textId="77777777" w:rsidR="007041D7" w:rsidRDefault="007041D7" w:rsidP="007041D7">
      <w:pPr>
        <w:pStyle w:val="Paragraphedeliste"/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21AACAE" w14:textId="77777777" w:rsidR="003971F4" w:rsidRPr="007041D7" w:rsidRDefault="003971F4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Remplir les conditions d’aptitude physique exigées pour l’exercice des fonctions occupées.</w:t>
      </w:r>
    </w:p>
    <w:p w14:paraId="645F7051" w14:textId="77777777" w:rsidR="007B4AD4" w:rsidRDefault="00A75196" w:rsidP="00995FE5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  <w:r w:rsidRPr="00995FE5">
        <w:rPr>
          <w:rFonts w:ascii="Arial" w:hAnsi="Arial" w:cs="Arial"/>
          <w:b/>
          <w:color w:val="404040" w:themeColor="text1" w:themeTint="BF"/>
          <w:sz w:val="20"/>
          <w:szCs w:val="20"/>
        </w:rPr>
        <w:t>Les candidats en situation de handicap</w:t>
      </w:r>
      <w:r w:rsidRPr="00995FE5">
        <w:rPr>
          <w:rFonts w:ascii="Arial" w:hAnsi="Arial" w:cs="Arial"/>
          <w:color w:val="404040" w:themeColor="text1" w:themeTint="BF"/>
          <w:sz w:val="20"/>
          <w:szCs w:val="20"/>
        </w:rPr>
        <w:t xml:space="preserve"> attesté par un certificat médical délivré par un médecin agréé peuvent bénéficier d’un ou plusieurs aménagements d’épreuves, leur demande en application des dispositions du code général de la Fonction publique.</w:t>
      </w:r>
    </w:p>
    <w:p w14:paraId="3C64BCDA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  <w:r>
        <w:rPr>
          <w:rFonts w:ascii="Arial" w:hAnsi="Arial" w:cs="Arial"/>
          <w:color w:val="404040" w:themeColor="text1" w:themeTint="BF"/>
          <w:szCs w:val="20"/>
        </w:rPr>
        <w:br w:type="page"/>
      </w:r>
    </w:p>
    <w:p w14:paraId="7FADC079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36"/>
        <w:gridCol w:w="19"/>
        <w:gridCol w:w="1338"/>
        <w:gridCol w:w="14"/>
        <w:gridCol w:w="1255"/>
      </w:tblGrid>
      <w:tr w:rsidR="000B2153" w14:paraId="690A974D" w14:textId="77777777" w:rsidTr="000B2153">
        <w:tc>
          <w:tcPr>
            <w:tcW w:w="6455" w:type="dxa"/>
            <w:gridSpan w:val="2"/>
          </w:tcPr>
          <w:p w14:paraId="47BDD486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03CA"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Nature des épreuves</w:t>
            </w:r>
          </w:p>
        </w:tc>
        <w:tc>
          <w:tcPr>
            <w:tcW w:w="1352" w:type="dxa"/>
            <w:gridSpan w:val="2"/>
          </w:tcPr>
          <w:p w14:paraId="588EE82D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DFBD5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1255" w:type="dxa"/>
          </w:tcPr>
          <w:p w14:paraId="7F631362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BA44B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</w:p>
        </w:tc>
      </w:tr>
      <w:tr w:rsidR="000B2153" w14:paraId="0A50EC04" w14:textId="77777777" w:rsidTr="00B94F8F">
        <w:tc>
          <w:tcPr>
            <w:tcW w:w="9062" w:type="dxa"/>
            <w:gridSpan w:val="5"/>
          </w:tcPr>
          <w:p w14:paraId="565B5ECE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D’ADMISSIBILITE</w:t>
            </w:r>
          </w:p>
        </w:tc>
      </w:tr>
      <w:tr w:rsidR="000B2153" w14:paraId="63B010FC" w14:textId="77777777" w:rsidTr="000B2153">
        <w:tc>
          <w:tcPr>
            <w:tcW w:w="6436" w:type="dxa"/>
          </w:tcPr>
          <w:p w14:paraId="5D7B0D7F" w14:textId="77777777" w:rsidR="000B2153" w:rsidRPr="000547AF" w:rsidRDefault="000B2153" w:rsidP="00B94F8F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>Note de réflexion sur une question contemporaine d’ordre général portant sur des problématiques de santé publique et environnementale ainsi que sur les grands enjeux de protection sociale.</w:t>
            </w:r>
          </w:p>
          <w:p w14:paraId="54C1BC3E" w14:textId="77777777" w:rsidR="000B2153" w:rsidRPr="000547AF" w:rsidRDefault="000B2153" w:rsidP="00B94F8F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 vise à apprécier l’aptitude du candidat à exprimer sur le sujet proposé, une analyse structurée du contexte dans lequel il, s’inscrit et à construire une argumentation personnelle et structurée.</w:t>
            </w:r>
          </w:p>
        </w:tc>
        <w:tc>
          <w:tcPr>
            <w:tcW w:w="1357" w:type="dxa"/>
            <w:gridSpan w:val="2"/>
          </w:tcPr>
          <w:p w14:paraId="275F8113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15E7749F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C12B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69" w:type="dxa"/>
            <w:gridSpan w:val="2"/>
          </w:tcPr>
          <w:p w14:paraId="6B71AC82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02F3F2A3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FC12BA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0B2153" w14:paraId="7FF4A6BD" w14:textId="77777777" w:rsidTr="000B2153">
        <w:tc>
          <w:tcPr>
            <w:tcW w:w="6436" w:type="dxa"/>
          </w:tcPr>
          <w:p w14:paraId="74886F1C" w14:textId="77777777" w:rsidR="000B2153" w:rsidRPr="000547AF" w:rsidRDefault="000B2153" w:rsidP="00B94F8F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 xml:space="preserve">Note de synthèse et de propositions portant sur une problématique d’organisation et de gestion </w:t>
            </w:r>
            <w:r w:rsidRPr="000B2153">
              <w:rPr>
                <w:b/>
                <w:sz w:val="18"/>
              </w:rPr>
              <w:t>dans un établissement public de santé</w:t>
            </w:r>
            <w:r w:rsidRPr="000547AF">
              <w:rPr>
                <w:b/>
                <w:sz w:val="18"/>
              </w:rPr>
              <w:t>.</w:t>
            </w:r>
          </w:p>
          <w:p w14:paraId="311B74AB" w14:textId="77777777" w:rsidR="000B2153" w:rsidRPr="000547AF" w:rsidRDefault="000B2153" w:rsidP="000B2153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consiste à dégager les éléments essentiels d'un dossier en rapport avec le sujet. Elle 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doit 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apporte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au lecteur une compréhension globale du thème sans qu'il lui soit nécessaire de se reporter au dossier qu'il est supposé ne pas connaître.</w:t>
            </w:r>
          </w:p>
        </w:tc>
        <w:tc>
          <w:tcPr>
            <w:tcW w:w="1357" w:type="dxa"/>
            <w:gridSpan w:val="2"/>
          </w:tcPr>
          <w:p w14:paraId="05578264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0931E7A2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69" w:type="dxa"/>
            <w:gridSpan w:val="2"/>
          </w:tcPr>
          <w:p w14:paraId="5A8FF942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605A36C9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37562AF7" w14:textId="77777777" w:rsidTr="000B2153">
        <w:tc>
          <w:tcPr>
            <w:tcW w:w="6436" w:type="dxa"/>
          </w:tcPr>
          <w:p w14:paraId="67ADAC2D" w14:textId="77777777" w:rsidR="000B2153" w:rsidRPr="000547AF" w:rsidRDefault="000B2153" w:rsidP="000B2153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0547AF">
              <w:rPr>
                <w:b/>
                <w:sz w:val="18"/>
              </w:rPr>
              <w:t xml:space="preserve">Note opérationnelle, sur la base d'un dossier d'une dizaine de pages, portant sur des </w:t>
            </w:r>
            <w:r w:rsidR="0002380E">
              <w:rPr>
                <w:b/>
                <w:sz w:val="18"/>
              </w:rPr>
              <w:t xml:space="preserve">problématiques de droit public ou de </w:t>
            </w:r>
            <w:r w:rsidRPr="000547AF">
              <w:rPr>
                <w:b/>
                <w:sz w:val="18"/>
              </w:rPr>
              <w:t xml:space="preserve">santé publique ou </w:t>
            </w:r>
            <w:r w:rsidR="0002380E">
              <w:rPr>
                <w:b/>
                <w:sz w:val="18"/>
              </w:rPr>
              <w:t xml:space="preserve">de </w:t>
            </w:r>
            <w:r w:rsidRPr="000547AF">
              <w:rPr>
                <w:b/>
                <w:sz w:val="18"/>
              </w:rPr>
              <w:t xml:space="preserve">finances publiques ou </w:t>
            </w:r>
            <w:r w:rsidR="0002380E">
              <w:rPr>
                <w:b/>
                <w:sz w:val="18"/>
              </w:rPr>
              <w:t>d’</w:t>
            </w:r>
            <w:r w:rsidRPr="000547AF">
              <w:rPr>
                <w:b/>
                <w:sz w:val="18"/>
              </w:rPr>
              <w:t>économie.</w:t>
            </w:r>
          </w:p>
          <w:p w14:paraId="0CB31C95" w14:textId="77777777" w:rsidR="000B2153" w:rsidRPr="000547AF" w:rsidRDefault="000B2153" w:rsidP="000B2153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1357" w:type="dxa"/>
            <w:gridSpan w:val="2"/>
          </w:tcPr>
          <w:p w14:paraId="4E5C38A0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2F52A51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69" w:type="dxa"/>
            <w:gridSpan w:val="2"/>
          </w:tcPr>
          <w:p w14:paraId="5265373F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10055337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0B2153" w14:paraId="5AE55E29" w14:textId="77777777" w:rsidTr="000B2153">
        <w:tc>
          <w:tcPr>
            <w:tcW w:w="6436" w:type="dxa"/>
          </w:tcPr>
          <w:p w14:paraId="7FBB123B" w14:textId="77777777" w:rsidR="000B2153" w:rsidRPr="00936646" w:rsidRDefault="000B2153" w:rsidP="000B2153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b/>
                <w:sz w:val="18"/>
              </w:rPr>
              <w:t>N</w:t>
            </w:r>
            <w:r w:rsidRPr="00936646">
              <w:rPr>
                <w:b/>
                <w:sz w:val="18"/>
              </w:rPr>
              <w:t xml:space="preserve">ote opérationnelle, sur la base d’un dossier d’une dizaine de pages, portant sur des problématiques de droit hospitalier </w:t>
            </w:r>
            <w:r w:rsidR="0002380E">
              <w:rPr>
                <w:b/>
                <w:sz w:val="18"/>
              </w:rPr>
              <w:t>ou d’</w:t>
            </w:r>
            <w:r w:rsidRPr="00936646">
              <w:rPr>
                <w:b/>
                <w:sz w:val="18"/>
              </w:rPr>
              <w:t xml:space="preserve">économie de la santé </w:t>
            </w:r>
            <w:r w:rsidR="0002380E">
              <w:rPr>
                <w:b/>
                <w:sz w:val="18"/>
              </w:rPr>
              <w:t xml:space="preserve">ou de </w:t>
            </w:r>
            <w:r w:rsidRPr="00936646">
              <w:rPr>
                <w:b/>
                <w:sz w:val="18"/>
              </w:rPr>
              <w:t>législation de sécurité sociale et aide sociale.</w:t>
            </w:r>
          </w:p>
          <w:p w14:paraId="46B74CBB" w14:textId="77777777" w:rsidR="000B2153" w:rsidRPr="000547AF" w:rsidRDefault="000B2153" w:rsidP="000B2153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1357" w:type="dxa"/>
            <w:gridSpan w:val="2"/>
          </w:tcPr>
          <w:p w14:paraId="01077FF9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17C5255D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69" w:type="dxa"/>
            <w:gridSpan w:val="2"/>
          </w:tcPr>
          <w:p w14:paraId="01371338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38E8ED53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0B2153" w:rsidRPr="000D03CA" w14:paraId="18825A82" w14:textId="77777777" w:rsidTr="00B94F8F">
        <w:tc>
          <w:tcPr>
            <w:tcW w:w="9062" w:type="dxa"/>
            <w:gridSpan w:val="5"/>
          </w:tcPr>
          <w:p w14:paraId="2C5A1FCA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ION</w:t>
            </w:r>
          </w:p>
        </w:tc>
      </w:tr>
      <w:tr w:rsidR="000B2153" w14:paraId="6EA09FE6" w14:textId="77777777" w:rsidTr="000B2153">
        <w:tc>
          <w:tcPr>
            <w:tcW w:w="6436" w:type="dxa"/>
          </w:tcPr>
          <w:p w14:paraId="5BD6E3B3" w14:textId="77777777" w:rsidR="000B2153" w:rsidRPr="00C933D2" w:rsidRDefault="000B2153" w:rsidP="00B94F8F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collectif suivie d’une interrogation individuelle</w:t>
            </w:r>
          </w:p>
          <w:p w14:paraId="5DEA25E3" w14:textId="77777777" w:rsidR="000B2153" w:rsidRPr="00C933D2" w:rsidRDefault="000B2153" w:rsidP="00B94F8F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Lors de cette épreuve, les candidats sont répartis en groupe de 4. À partir d’un sujet qui leur est soumis, les candidats d’un même groupe procèdent, devant le jury, à des échanges au cours desquels ils exposent leur analyse de la situation et présentent la ou les solutions qu’ils préconisent pour atteindre l’objectif assigné</w:t>
            </w: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.</w:t>
            </w:r>
          </w:p>
        </w:tc>
        <w:tc>
          <w:tcPr>
            <w:tcW w:w="1357" w:type="dxa"/>
            <w:gridSpan w:val="2"/>
          </w:tcPr>
          <w:p w14:paraId="7ABC69D3" w14:textId="77777777" w:rsidR="000B2153" w:rsidRDefault="000B2153" w:rsidP="00B94F8F">
            <w:pPr>
              <w:jc w:val="center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30 minutes de mise en situation collective et 15 minutes d’interrogation individuelle</w:t>
            </w:r>
          </w:p>
        </w:tc>
        <w:tc>
          <w:tcPr>
            <w:tcW w:w="1269" w:type="dxa"/>
            <w:gridSpan w:val="2"/>
          </w:tcPr>
          <w:p w14:paraId="2934C73A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68CBD469" w14:textId="77777777" w:rsidR="000B2153" w:rsidRPr="00CA5119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0F53E618" w14:textId="77777777" w:rsidTr="000B2153">
        <w:tc>
          <w:tcPr>
            <w:tcW w:w="6436" w:type="dxa"/>
          </w:tcPr>
          <w:p w14:paraId="23234001" w14:textId="77777777" w:rsidR="000B2153" w:rsidRPr="00C933D2" w:rsidRDefault="000B2153" w:rsidP="00B94F8F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individuel</w:t>
            </w: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 :</w:t>
            </w:r>
          </w:p>
          <w:p w14:paraId="1A5B2D2C" w14:textId="7947BC1D" w:rsidR="000B2153" w:rsidRDefault="000B2153" w:rsidP="00B94F8F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Vise à apprécier l’adéquation des candidats à l’emploi de directeur d’établissement </w:t>
            </w:r>
            <w:r w:rsidR="00FD56FC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public de santé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leur motivation pour exercer ces fonctions. Pour cette épreuve le jury </w:t>
            </w:r>
            <w:r w:rsidR="00366F0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dispose 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du curriculum vitae</w:t>
            </w:r>
            <w:r w:rsidR="00913DCC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et du dossier de RAEP 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du candidat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.</w:t>
            </w:r>
          </w:p>
          <w:p w14:paraId="36E0BD6A" w14:textId="77777777" w:rsidR="000B2153" w:rsidRPr="00C933D2" w:rsidRDefault="000B2153" w:rsidP="00B94F8F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</w:p>
        </w:tc>
        <w:tc>
          <w:tcPr>
            <w:tcW w:w="1357" w:type="dxa"/>
            <w:gridSpan w:val="2"/>
          </w:tcPr>
          <w:p w14:paraId="66CF4979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3942891D" w14:textId="77777777" w:rsidR="000B2153" w:rsidRDefault="00366F0D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30</w:t>
            </w:r>
            <w:r w:rsidR="000B2153" w:rsidRPr="00C933D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minutes </w:t>
            </w:r>
          </w:p>
        </w:tc>
        <w:tc>
          <w:tcPr>
            <w:tcW w:w="1269" w:type="dxa"/>
            <w:gridSpan w:val="2"/>
          </w:tcPr>
          <w:p w14:paraId="4892F56D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48DE32E9" w14:textId="77777777" w:rsidR="000B2153" w:rsidRPr="00CA5119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18BD8848" w14:textId="77777777" w:rsidTr="000B2153">
        <w:tc>
          <w:tcPr>
            <w:tcW w:w="6436" w:type="dxa"/>
          </w:tcPr>
          <w:p w14:paraId="20AEEB35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12395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obligatoire de langue vivante en Anglais</w:t>
            </w:r>
            <w:r w:rsidRPr="00912395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 </w:t>
            </w:r>
            <w:r w:rsidRPr="00912395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consistant en la lecture et la traduction d'un texte suivie d'une conversation avec le jury</w:t>
            </w:r>
            <w:r w:rsidRPr="001A1C9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  <w:p w14:paraId="7182047A" w14:textId="77777777" w:rsidR="000B2153" w:rsidRPr="00AA24CB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14:paraId="23F2AD50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410A8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15 minutes</w:t>
            </w:r>
          </w:p>
        </w:tc>
        <w:tc>
          <w:tcPr>
            <w:tcW w:w="1269" w:type="dxa"/>
            <w:gridSpan w:val="2"/>
          </w:tcPr>
          <w:p w14:paraId="2FEFAC9B" w14:textId="77777777" w:rsidR="000B2153" w:rsidRPr="0042219A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42219A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1</w:t>
            </w:r>
          </w:p>
        </w:tc>
      </w:tr>
    </w:tbl>
    <w:p w14:paraId="3A22010E" w14:textId="77777777" w:rsidR="000B2153" w:rsidRPr="000B2153" w:rsidRDefault="000B2153" w:rsidP="000B2153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0B2153">
        <w:rPr>
          <w:rFonts w:ascii="Arial" w:hAnsi="Arial" w:cs="Arial"/>
          <w:color w:val="404040" w:themeColor="text1" w:themeTint="BF"/>
          <w:sz w:val="20"/>
          <w:szCs w:val="20"/>
        </w:rPr>
        <w:t>Pour toute information, contactez-nous au :</w:t>
      </w:r>
    </w:p>
    <w:p w14:paraId="458F5A31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bookmarkStart w:id="1" w:name="_Hlk220078884"/>
      <w:r w:rsidRPr="00936646">
        <w:rPr>
          <w:rFonts w:ascii="Arial" w:hAnsi="Arial" w:cs="Arial"/>
          <w:color w:val="00B0F0"/>
          <w:sz w:val="20"/>
          <w:szCs w:val="20"/>
        </w:rPr>
        <w:t>Département autorisation d’exercice, concours, coaching</w:t>
      </w:r>
    </w:p>
    <w:p w14:paraId="2783D70E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Bureau des concours nationaux</w:t>
      </w:r>
    </w:p>
    <w:p w14:paraId="07DDF1FB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hyperlink r:id="rId7" w:history="1">
        <w:r w:rsidRPr="00936646">
          <w:rPr>
            <w:rStyle w:val="Lienhypertexte"/>
            <w:rFonts w:ascii="Arial" w:hAnsi="Arial" w:cs="Arial"/>
            <w:sz w:val="20"/>
            <w:szCs w:val="20"/>
          </w:rPr>
          <w:t>CNG-concours-administratifs@sante.gouv.fr</w:t>
        </w:r>
      </w:hyperlink>
      <w:r w:rsidRPr="00936646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08ACD99" w14:textId="3A4F4E55" w:rsidR="000B2153" w:rsidRPr="00F81162" w:rsidRDefault="000B2153" w:rsidP="000B2153">
      <w:pPr>
        <w:spacing w:after="0" w:line="280" w:lineRule="exact"/>
        <w:ind w:left="-993"/>
        <w:jc w:val="center"/>
        <w:rPr>
          <w:rFonts w:ascii="Arial" w:hAnsi="Arial" w:cs="Arial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 xml:space="preserve">CNG : </w:t>
      </w:r>
      <w:r w:rsidR="001A24A8" w:rsidRPr="001A24A8">
        <w:rPr>
          <w:rFonts w:ascii="Arial" w:hAnsi="Arial" w:cs="Arial"/>
          <w:color w:val="00B0F0"/>
          <w:sz w:val="20"/>
          <w:szCs w:val="20"/>
        </w:rPr>
        <w:t>86, Rue Henri FARMAN</w:t>
      </w:r>
      <w:r w:rsidR="001A24A8">
        <w:rPr>
          <w:rFonts w:ascii="Arial" w:hAnsi="Arial" w:cs="Arial"/>
          <w:color w:val="00B0F0"/>
          <w:sz w:val="20"/>
          <w:szCs w:val="20"/>
        </w:rPr>
        <w:t xml:space="preserve"> </w:t>
      </w:r>
      <w:r w:rsidRPr="00936646">
        <w:rPr>
          <w:rFonts w:ascii="Arial" w:hAnsi="Arial" w:cs="Arial"/>
          <w:color w:val="00B0F0"/>
          <w:sz w:val="20"/>
          <w:szCs w:val="20"/>
        </w:rPr>
        <w:t xml:space="preserve">– 92130 Issy les Moulineaux </w:t>
      </w:r>
    </w:p>
    <w:bookmarkEnd w:id="1"/>
    <w:p w14:paraId="27FE3B8D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</w:p>
    <w:sectPr w:rsidR="000B21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7D41" w14:textId="77777777" w:rsidR="000850EB" w:rsidRDefault="000850EB" w:rsidP="004F538B">
      <w:pPr>
        <w:spacing w:after="0" w:line="240" w:lineRule="auto"/>
      </w:pPr>
      <w:r>
        <w:separator/>
      </w:r>
    </w:p>
  </w:endnote>
  <w:endnote w:type="continuationSeparator" w:id="0">
    <w:p w14:paraId="5D557D92" w14:textId="77777777" w:rsidR="000850EB" w:rsidRDefault="000850EB" w:rsidP="004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9D52" w14:textId="77777777" w:rsidR="000850EB" w:rsidRDefault="000850EB" w:rsidP="004F538B">
      <w:pPr>
        <w:spacing w:after="0" w:line="240" w:lineRule="auto"/>
      </w:pPr>
      <w:r>
        <w:separator/>
      </w:r>
    </w:p>
  </w:footnote>
  <w:footnote w:type="continuationSeparator" w:id="0">
    <w:p w14:paraId="76715716" w14:textId="77777777" w:rsidR="000850EB" w:rsidRDefault="000850EB" w:rsidP="004F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0BA1" w14:textId="77777777" w:rsidR="004F538B" w:rsidRDefault="004F538B" w:rsidP="00A9088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0FEEF58" wp14:editId="4F30B073">
          <wp:extent cx="1657061" cy="86042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767" cy="86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DD18B" w14:textId="77777777" w:rsidR="00A90885" w:rsidRDefault="00A90885" w:rsidP="00A90885">
    <w:pPr>
      <w:pStyle w:val="En-tte"/>
      <w:jc w:val="center"/>
    </w:pPr>
  </w:p>
  <w:p w14:paraId="06FC81DD" w14:textId="7542E2F1" w:rsidR="00A90885" w:rsidRPr="00A90885" w:rsidRDefault="00A90885" w:rsidP="00A90885">
    <w:pPr>
      <w:pStyle w:val="En-tte"/>
      <w:jc w:val="center"/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90885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SESSION 202</w:t>
    </w:r>
    <w:r w:rsidR="001A24A8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46D"/>
    <w:multiLevelType w:val="hybridMultilevel"/>
    <w:tmpl w:val="06E25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B"/>
    <w:rsid w:val="0002380E"/>
    <w:rsid w:val="000850EB"/>
    <w:rsid w:val="000B2153"/>
    <w:rsid w:val="000C3C94"/>
    <w:rsid w:val="000D03CA"/>
    <w:rsid w:val="00106CC5"/>
    <w:rsid w:val="001267E0"/>
    <w:rsid w:val="00136E51"/>
    <w:rsid w:val="001A24A8"/>
    <w:rsid w:val="002D7212"/>
    <w:rsid w:val="00366F0D"/>
    <w:rsid w:val="003971F4"/>
    <w:rsid w:val="003D0A99"/>
    <w:rsid w:val="00422DAD"/>
    <w:rsid w:val="00484FBE"/>
    <w:rsid w:val="004F538B"/>
    <w:rsid w:val="00501663"/>
    <w:rsid w:val="00552B43"/>
    <w:rsid w:val="005970F4"/>
    <w:rsid w:val="005C4A67"/>
    <w:rsid w:val="006437BF"/>
    <w:rsid w:val="007041D7"/>
    <w:rsid w:val="007678E8"/>
    <w:rsid w:val="007B4AD4"/>
    <w:rsid w:val="008331FB"/>
    <w:rsid w:val="00842131"/>
    <w:rsid w:val="0085267B"/>
    <w:rsid w:val="008C5E41"/>
    <w:rsid w:val="00913DCC"/>
    <w:rsid w:val="00984DFA"/>
    <w:rsid w:val="0099410E"/>
    <w:rsid w:val="00995FE5"/>
    <w:rsid w:val="009D6E50"/>
    <w:rsid w:val="00A2434E"/>
    <w:rsid w:val="00A75196"/>
    <w:rsid w:val="00A90885"/>
    <w:rsid w:val="00AD2BCB"/>
    <w:rsid w:val="00AF6FFF"/>
    <w:rsid w:val="00C524F2"/>
    <w:rsid w:val="00C803CC"/>
    <w:rsid w:val="00D7665C"/>
    <w:rsid w:val="00DC33A0"/>
    <w:rsid w:val="00DD02DA"/>
    <w:rsid w:val="00E65086"/>
    <w:rsid w:val="00EB5344"/>
    <w:rsid w:val="00EE1818"/>
    <w:rsid w:val="00F3336C"/>
    <w:rsid w:val="00F55ED3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EA97"/>
  <w15:docId w15:val="{489F28AE-D350-4796-A2E1-AA252C2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38B"/>
  </w:style>
  <w:style w:type="paragraph" w:styleId="Pieddepage">
    <w:name w:val="footer"/>
    <w:basedOn w:val="Normal"/>
    <w:link w:val="Pieddepag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38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3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0F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9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-concours-administratifs@sant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ETIENNE, Philippe</dc:creator>
  <cp:lastModifiedBy>ETIENNE, Philippe (AGC-CNG)</cp:lastModifiedBy>
  <cp:revision>5</cp:revision>
  <dcterms:created xsi:type="dcterms:W3CDTF">2026-01-23T15:30:00Z</dcterms:created>
  <dcterms:modified xsi:type="dcterms:W3CDTF">2026-01-23T15:43:00Z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2025-09-09T12:43:56Z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4275252f-3629-4de3-a564-503d52332348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